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80347">
      <w:pPr>
        <w:spacing w:after="120"/>
        <w:ind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CB3156">
        <w:rPr>
          <w:rFonts w:ascii="Times New Roman" w:hAnsi="Times New Roman"/>
          <w:b/>
          <w:sz w:val="24"/>
          <w:szCs w:val="24"/>
        </w:rPr>
        <w:t>2</w:t>
      </w:r>
    </w:p>
    <w:p w:rsidR="008E6A14" w:rsidRDefault="008E6A14" w:rsidP="00880347">
      <w:pPr>
        <w:spacing w:after="120"/>
        <w:ind w:firstLine="568"/>
        <w:jc w:val="center"/>
        <w:rPr>
          <w:rFonts w:ascii="Times New Roman" w:hAnsi="Times New Roman"/>
          <w:b/>
          <w:sz w:val="24"/>
          <w:szCs w:val="24"/>
        </w:rPr>
      </w:pPr>
    </w:p>
    <w:p w:rsidR="00FB2F8E" w:rsidRDefault="00FB2F8E" w:rsidP="00880347">
      <w:pPr>
        <w:spacing w:after="120"/>
        <w:ind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0365D0">
        <w:rPr>
          <w:rFonts w:ascii="Times New Roman" w:hAnsi="Times New Roman"/>
          <w:sz w:val="24"/>
          <w:szCs w:val="24"/>
        </w:rPr>
        <w:t>лекарственных средств</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80347">
      <w:pPr>
        <w:spacing w:after="120"/>
        <w:ind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80347">
      <w:pPr>
        <w:spacing w:after="120"/>
        <w:ind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5E1A7A">
        <w:rPr>
          <w:rFonts w:ascii="Times New Roman" w:hAnsi="Times New Roman"/>
          <w:b/>
          <w:sz w:val="24"/>
          <w:szCs w:val="24"/>
        </w:rPr>
        <w:t>лекарственных средств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80347">
      <w:pPr>
        <w:spacing w:after="120"/>
        <w:ind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880347">
      <w:pPr>
        <w:spacing w:after="120"/>
        <w:ind w:firstLine="568"/>
        <w:jc w:val="both"/>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880347">
      <w:pPr>
        <w:spacing w:after="120"/>
        <w:ind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9F5887">
        <w:rPr>
          <w:rFonts w:ascii="Times New Roman" w:hAnsi="Times New Roman"/>
          <w:sz w:val="24"/>
          <w:szCs w:val="24"/>
        </w:rPr>
        <w:t>13</w:t>
      </w:r>
      <w:r w:rsidR="00AD16A1">
        <w:rPr>
          <w:rFonts w:ascii="Times New Roman" w:hAnsi="Times New Roman"/>
          <w:sz w:val="24"/>
          <w:szCs w:val="24"/>
        </w:rPr>
        <w:t xml:space="preserve"> </w:t>
      </w:r>
      <w:r w:rsidR="009F5887">
        <w:rPr>
          <w:rFonts w:ascii="Times New Roman" w:hAnsi="Times New Roman"/>
          <w:sz w:val="24"/>
          <w:szCs w:val="24"/>
        </w:rPr>
        <w:t>февраля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9F5887">
        <w:rPr>
          <w:rFonts w:ascii="Times New Roman" w:hAnsi="Times New Roman"/>
          <w:sz w:val="24"/>
          <w:szCs w:val="24"/>
        </w:rPr>
        <w:t>17</w:t>
      </w:r>
      <w:r w:rsidRPr="00352B43">
        <w:rPr>
          <w:rFonts w:ascii="Times New Roman" w:hAnsi="Times New Roman"/>
          <w:sz w:val="24"/>
          <w:szCs w:val="24"/>
        </w:rPr>
        <w:t xml:space="preserve"> </w:t>
      </w:r>
      <w:r w:rsidR="000365D0">
        <w:rPr>
          <w:rFonts w:ascii="Times New Roman" w:hAnsi="Times New Roman"/>
          <w:sz w:val="24"/>
          <w:szCs w:val="24"/>
        </w:rPr>
        <w:t>февраля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13.00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80347">
      <w:pPr>
        <w:spacing w:after="120"/>
        <w:ind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80347">
      <w:pPr>
        <w:spacing w:after="120"/>
        <w:ind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880347">
      <w:pPr>
        <w:spacing w:after="120"/>
        <w:ind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9F5887">
        <w:rPr>
          <w:rFonts w:ascii="Times New Roman" w:hAnsi="Times New Roman"/>
          <w:sz w:val="24"/>
          <w:szCs w:val="24"/>
          <w:lang w:val="kk-KZ"/>
        </w:rPr>
        <w:t>Манара</w:t>
      </w:r>
    </w:p>
    <w:p w:rsidR="00FB2F8E" w:rsidRPr="00196960" w:rsidRDefault="00FB2F8E" w:rsidP="00880347">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365D0">
        <w:rPr>
          <w:rFonts w:ascii="Times New Roman" w:hAnsi="Times New Roman"/>
          <w:sz w:val="24"/>
          <w:szCs w:val="24"/>
          <w:lang w:val="kk-KZ"/>
        </w:rPr>
        <w:t>Амрина</w:t>
      </w:r>
      <w:r w:rsidRPr="00196960">
        <w:rPr>
          <w:rFonts w:ascii="Times New Roman" w:hAnsi="Times New Roman"/>
          <w:sz w:val="24"/>
          <w:szCs w:val="24"/>
          <w:lang w:val="kk-KZ"/>
        </w:rPr>
        <w:t xml:space="preserve"> </w:t>
      </w:r>
      <w:r w:rsidR="000365D0">
        <w:rPr>
          <w:rFonts w:ascii="Times New Roman" w:hAnsi="Times New Roman"/>
          <w:sz w:val="24"/>
          <w:szCs w:val="24"/>
          <w:lang w:val="kk-KZ"/>
        </w:rPr>
        <w:t>Г</w:t>
      </w:r>
      <w:r w:rsidRPr="00196960">
        <w:rPr>
          <w:rFonts w:ascii="Times New Roman" w:hAnsi="Times New Roman"/>
          <w:sz w:val="24"/>
          <w:szCs w:val="24"/>
          <w:lang w:val="kk-KZ"/>
        </w:rPr>
        <w:t>.</w:t>
      </w:r>
      <w:r w:rsidR="000365D0">
        <w:rPr>
          <w:rFonts w:ascii="Times New Roman" w:hAnsi="Times New Roman"/>
          <w:sz w:val="24"/>
          <w:szCs w:val="24"/>
          <w:lang w:val="kk-KZ"/>
        </w:rPr>
        <w:t>Б</w:t>
      </w:r>
      <w:r w:rsidRPr="00196960">
        <w:rPr>
          <w:rFonts w:ascii="Times New Roman" w:hAnsi="Times New Roman"/>
          <w:sz w:val="24"/>
          <w:szCs w:val="24"/>
          <w:lang w:val="kk-KZ"/>
        </w:rPr>
        <w:t>. тел. 8 (7172) 29-58-70.</w:t>
      </w:r>
    </w:p>
    <w:p w:rsidR="00FB2F8E" w:rsidRDefault="00FB2F8E" w:rsidP="00880347">
      <w:pPr>
        <w:spacing w:after="120"/>
        <w:ind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880347">
      <w:pPr>
        <w:ind w:firstLine="568"/>
        <w:rPr>
          <w:rFonts w:ascii="Times New Roman" w:hAnsi="Times New Roman"/>
          <w:sz w:val="26"/>
          <w:szCs w:val="26"/>
        </w:rPr>
      </w:pPr>
    </w:p>
    <w:p w:rsidR="00FB2F8E" w:rsidRPr="000E0B16" w:rsidRDefault="00FB2F8E" w:rsidP="00880347">
      <w:pPr>
        <w:ind w:firstLine="284"/>
        <w:rPr>
          <w:rFonts w:ascii="Times New Roman" w:hAnsi="Times New Roman"/>
          <w:sz w:val="28"/>
          <w:szCs w:val="28"/>
        </w:rPr>
      </w:pPr>
    </w:p>
    <w:p w:rsidR="00FB2F8E" w:rsidRDefault="00FB2F8E" w:rsidP="00880347">
      <w:pPr>
        <w:ind w:firstLine="851"/>
        <w:rPr>
          <w:rFonts w:ascii="Times New Roman" w:hAnsi="Times New Roman"/>
          <w:b/>
          <w:sz w:val="28"/>
          <w:szCs w:val="28"/>
        </w:rPr>
      </w:pPr>
    </w:p>
    <w:p w:rsidR="00FB2F8E" w:rsidRDefault="00FB2F8E" w:rsidP="00880347">
      <w:pPr>
        <w:ind w:firstLine="851"/>
        <w:rPr>
          <w:rFonts w:ascii="Times New Roman" w:hAnsi="Times New Roman"/>
          <w:b/>
          <w:sz w:val="28"/>
          <w:szCs w:val="28"/>
        </w:rPr>
      </w:pPr>
    </w:p>
    <w:p w:rsidR="00FB2F8E" w:rsidRDefault="00FB2F8E" w:rsidP="00880347">
      <w:pPr>
        <w:ind w:firstLine="851"/>
        <w:rPr>
          <w:rFonts w:ascii="Times New Roman" w:hAnsi="Times New Roman"/>
          <w:b/>
          <w:sz w:val="28"/>
          <w:szCs w:val="28"/>
        </w:rPr>
      </w:pPr>
    </w:p>
    <w:p w:rsidR="00FB2F8E" w:rsidRDefault="00FB2F8E" w:rsidP="00880347">
      <w:pPr>
        <w:ind w:firstLine="851"/>
        <w:rPr>
          <w:rFonts w:ascii="Times New Roman" w:hAnsi="Times New Roman"/>
          <w:b/>
          <w:sz w:val="28"/>
          <w:szCs w:val="28"/>
        </w:rPr>
      </w:pPr>
    </w:p>
    <w:p w:rsidR="008E6A14" w:rsidRDefault="008E6A14" w:rsidP="00880347">
      <w:pPr>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p>
    <w:p w:rsidR="008E6A14" w:rsidRPr="005151F5" w:rsidRDefault="008E6A14" w:rsidP="0088034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360"/>
        <w:gridCol w:w="2652"/>
        <w:gridCol w:w="1083"/>
        <w:gridCol w:w="1083"/>
        <w:gridCol w:w="2068"/>
      </w:tblGrid>
      <w:tr w:rsidR="008E6A14" w:rsidRPr="00111AEA" w:rsidTr="00E127DE">
        <w:trPr>
          <w:trHeight w:val="850"/>
        </w:trPr>
        <w:tc>
          <w:tcPr>
            <w:tcW w:w="988" w:type="dxa"/>
          </w:tcPr>
          <w:p w:rsidR="008E6A14" w:rsidRPr="00111AEA" w:rsidRDefault="008E6A14" w:rsidP="00880347">
            <w:pPr>
              <w:rPr>
                <w:rFonts w:ascii="Times New Roman" w:hAnsi="Times New Roman"/>
                <w:sz w:val="24"/>
                <w:szCs w:val="24"/>
              </w:rPr>
            </w:pPr>
            <w:r w:rsidRPr="00111AEA">
              <w:rPr>
                <w:rFonts w:ascii="Times New Roman" w:hAnsi="Times New Roman"/>
                <w:sz w:val="24"/>
                <w:szCs w:val="24"/>
              </w:rPr>
              <w:t>Номер лота</w:t>
            </w:r>
          </w:p>
        </w:tc>
        <w:tc>
          <w:tcPr>
            <w:tcW w:w="2360" w:type="dxa"/>
          </w:tcPr>
          <w:p w:rsidR="008E6A14" w:rsidRPr="00111AEA" w:rsidRDefault="008E6A14" w:rsidP="00880347">
            <w:pPr>
              <w:rPr>
                <w:rFonts w:ascii="Times New Roman" w:hAnsi="Times New Roman"/>
                <w:sz w:val="24"/>
                <w:szCs w:val="24"/>
              </w:rPr>
            </w:pPr>
            <w:r w:rsidRPr="00111AEA">
              <w:rPr>
                <w:rFonts w:ascii="Times New Roman" w:hAnsi="Times New Roman"/>
                <w:sz w:val="24"/>
                <w:szCs w:val="24"/>
              </w:rPr>
              <w:t>Наименование товара</w:t>
            </w:r>
          </w:p>
        </w:tc>
        <w:tc>
          <w:tcPr>
            <w:tcW w:w="2652" w:type="dxa"/>
          </w:tcPr>
          <w:p w:rsidR="008E6A14" w:rsidRPr="00111AEA" w:rsidRDefault="008E6A14" w:rsidP="00880347">
            <w:pPr>
              <w:rPr>
                <w:rFonts w:ascii="Times New Roman" w:hAnsi="Times New Roman"/>
                <w:sz w:val="24"/>
                <w:szCs w:val="24"/>
              </w:rPr>
            </w:pPr>
            <w:r>
              <w:rPr>
                <w:rFonts w:ascii="Times New Roman" w:hAnsi="Times New Roman"/>
                <w:sz w:val="24"/>
                <w:szCs w:val="24"/>
              </w:rPr>
              <w:t>Характеристика товара</w:t>
            </w:r>
          </w:p>
        </w:tc>
        <w:tc>
          <w:tcPr>
            <w:tcW w:w="1083" w:type="dxa"/>
          </w:tcPr>
          <w:p w:rsidR="008E6A14" w:rsidRPr="00111AEA" w:rsidRDefault="008E6A14" w:rsidP="00880347">
            <w:pPr>
              <w:jc w:val="center"/>
              <w:rPr>
                <w:rFonts w:ascii="Times New Roman" w:hAnsi="Times New Roman"/>
                <w:sz w:val="24"/>
                <w:szCs w:val="24"/>
              </w:rPr>
            </w:pPr>
            <w:r w:rsidRPr="00111AEA">
              <w:rPr>
                <w:rFonts w:ascii="Times New Roman" w:hAnsi="Times New Roman"/>
                <w:sz w:val="24"/>
                <w:szCs w:val="24"/>
              </w:rPr>
              <w:t>Ед. изм.</w:t>
            </w:r>
          </w:p>
        </w:tc>
        <w:tc>
          <w:tcPr>
            <w:tcW w:w="1083" w:type="dxa"/>
          </w:tcPr>
          <w:p w:rsidR="008E6A14" w:rsidRPr="00111AEA" w:rsidRDefault="008E6A14" w:rsidP="00880347">
            <w:pPr>
              <w:rPr>
                <w:rFonts w:ascii="Times New Roman" w:hAnsi="Times New Roman"/>
                <w:sz w:val="24"/>
                <w:szCs w:val="24"/>
              </w:rPr>
            </w:pPr>
            <w:r w:rsidRPr="00111AEA">
              <w:rPr>
                <w:rFonts w:ascii="Times New Roman" w:hAnsi="Times New Roman"/>
                <w:sz w:val="24"/>
                <w:szCs w:val="24"/>
              </w:rPr>
              <w:t xml:space="preserve">   Кол-во</w:t>
            </w:r>
          </w:p>
        </w:tc>
        <w:tc>
          <w:tcPr>
            <w:tcW w:w="2068" w:type="dxa"/>
          </w:tcPr>
          <w:p w:rsidR="008E6A14" w:rsidRPr="00111AEA" w:rsidRDefault="008E6A14" w:rsidP="00880347">
            <w:pPr>
              <w:rPr>
                <w:rFonts w:ascii="Times New Roman" w:hAnsi="Times New Roman"/>
                <w:sz w:val="24"/>
                <w:szCs w:val="24"/>
              </w:rPr>
            </w:pPr>
            <w:r w:rsidRPr="00111AEA">
              <w:rPr>
                <w:rFonts w:ascii="Times New Roman" w:hAnsi="Times New Roman"/>
                <w:sz w:val="24"/>
                <w:szCs w:val="24"/>
              </w:rPr>
              <w:t>Сумма, выделенная для закупок, тенге</w:t>
            </w:r>
          </w:p>
        </w:tc>
      </w:tr>
      <w:tr w:rsidR="008E6A14" w:rsidRPr="00111AEA" w:rsidTr="00E127DE">
        <w:trPr>
          <w:trHeight w:val="538"/>
        </w:trPr>
        <w:tc>
          <w:tcPr>
            <w:tcW w:w="988" w:type="dxa"/>
          </w:tcPr>
          <w:p w:rsidR="008E6A14" w:rsidRPr="00111AEA" w:rsidRDefault="008E6A14" w:rsidP="00880347">
            <w:pPr>
              <w:rPr>
                <w:rFonts w:ascii="Times New Roman" w:hAnsi="Times New Roman"/>
                <w:sz w:val="24"/>
                <w:szCs w:val="24"/>
              </w:rPr>
            </w:pPr>
            <w:r>
              <w:rPr>
                <w:rFonts w:ascii="Times New Roman" w:hAnsi="Times New Roman"/>
                <w:sz w:val="24"/>
                <w:szCs w:val="24"/>
              </w:rPr>
              <w:t>1</w:t>
            </w:r>
          </w:p>
        </w:tc>
        <w:tc>
          <w:tcPr>
            <w:tcW w:w="2360" w:type="dxa"/>
          </w:tcPr>
          <w:p w:rsidR="008E6A14" w:rsidRPr="00111AEA" w:rsidRDefault="00CB3156" w:rsidP="00880347">
            <w:pPr>
              <w:rPr>
                <w:rFonts w:ascii="Times New Roman" w:hAnsi="Times New Roman"/>
                <w:sz w:val="24"/>
                <w:szCs w:val="24"/>
              </w:rPr>
            </w:pPr>
            <w:proofErr w:type="spellStart"/>
            <w:r w:rsidRPr="00CB3156">
              <w:rPr>
                <w:rFonts w:ascii="Times New Roman" w:hAnsi="Times New Roman"/>
                <w:sz w:val="24"/>
                <w:szCs w:val="24"/>
              </w:rPr>
              <w:t>Дилтиазем</w:t>
            </w:r>
            <w:proofErr w:type="spellEnd"/>
          </w:p>
        </w:tc>
        <w:tc>
          <w:tcPr>
            <w:tcW w:w="2652" w:type="dxa"/>
          </w:tcPr>
          <w:p w:rsidR="008E6A14" w:rsidRPr="00111AEA" w:rsidRDefault="00CB3156" w:rsidP="00880347">
            <w:pPr>
              <w:rPr>
                <w:rFonts w:ascii="Times New Roman" w:hAnsi="Times New Roman"/>
                <w:sz w:val="24"/>
                <w:szCs w:val="24"/>
              </w:rPr>
            </w:pPr>
            <w:r w:rsidRPr="00CB3156">
              <w:rPr>
                <w:rFonts w:ascii="Times New Roman" w:hAnsi="Times New Roman"/>
                <w:sz w:val="24"/>
                <w:szCs w:val="24"/>
              </w:rPr>
              <w:t xml:space="preserve">таблетка </w:t>
            </w:r>
            <w:proofErr w:type="spellStart"/>
            <w:r w:rsidRPr="00CB3156">
              <w:rPr>
                <w:rFonts w:ascii="Times New Roman" w:hAnsi="Times New Roman"/>
                <w:sz w:val="24"/>
                <w:szCs w:val="24"/>
              </w:rPr>
              <w:t>ретард</w:t>
            </w:r>
            <w:proofErr w:type="spellEnd"/>
            <w:r w:rsidRPr="00CB3156">
              <w:rPr>
                <w:rFonts w:ascii="Times New Roman" w:hAnsi="Times New Roman"/>
                <w:sz w:val="24"/>
                <w:szCs w:val="24"/>
              </w:rPr>
              <w:t xml:space="preserve">  90мг</w:t>
            </w:r>
          </w:p>
        </w:tc>
        <w:tc>
          <w:tcPr>
            <w:tcW w:w="1083" w:type="dxa"/>
          </w:tcPr>
          <w:p w:rsidR="008E6A14" w:rsidRPr="00111AEA" w:rsidRDefault="00CB3156" w:rsidP="00880347">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8E6A14" w:rsidRPr="00111AEA" w:rsidRDefault="00CB3156" w:rsidP="00880347">
            <w:pPr>
              <w:rPr>
                <w:rFonts w:ascii="Times New Roman" w:hAnsi="Times New Roman"/>
                <w:sz w:val="24"/>
                <w:szCs w:val="24"/>
              </w:rPr>
            </w:pPr>
            <w:r>
              <w:rPr>
                <w:rFonts w:ascii="Times New Roman" w:hAnsi="Times New Roman"/>
                <w:sz w:val="24"/>
                <w:szCs w:val="24"/>
              </w:rPr>
              <w:t>400</w:t>
            </w:r>
          </w:p>
        </w:tc>
        <w:tc>
          <w:tcPr>
            <w:tcW w:w="2068" w:type="dxa"/>
          </w:tcPr>
          <w:p w:rsidR="008E6A14" w:rsidRPr="00111AEA" w:rsidRDefault="00CB3156" w:rsidP="00880347">
            <w:pPr>
              <w:rPr>
                <w:rFonts w:ascii="Times New Roman" w:hAnsi="Times New Roman"/>
                <w:sz w:val="24"/>
                <w:szCs w:val="24"/>
              </w:rPr>
            </w:pPr>
            <w:r>
              <w:rPr>
                <w:rFonts w:ascii="Times New Roman" w:hAnsi="Times New Roman"/>
                <w:sz w:val="24"/>
                <w:szCs w:val="24"/>
              </w:rPr>
              <w:t>20 776,00</w:t>
            </w:r>
          </w:p>
        </w:tc>
      </w:tr>
      <w:tr w:rsidR="00286663" w:rsidRPr="00111AEA" w:rsidTr="00E127DE">
        <w:trPr>
          <w:trHeight w:val="850"/>
        </w:trPr>
        <w:tc>
          <w:tcPr>
            <w:tcW w:w="988" w:type="dxa"/>
          </w:tcPr>
          <w:p w:rsidR="00286663" w:rsidRDefault="00286663" w:rsidP="00880347">
            <w:pPr>
              <w:rPr>
                <w:rFonts w:ascii="Times New Roman" w:hAnsi="Times New Roman"/>
                <w:sz w:val="24"/>
                <w:szCs w:val="24"/>
              </w:rPr>
            </w:pPr>
            <w:bookmarkStart w:id="0" w:name="_GoBack"/>
            <w:bookmarkEnd w:id="0"/>
            <w:r>
              <w:rPr>
                <w:rFonts w:ascii="Times New Roman" w:hAnsi="Times New Roman"/>
                <w:sz w:val="24"/>
                <w:szCs w:val="24"/>
              </w:rPr>
              <w:t>3</w:t>
            </w:r>
          </w:p>
        </w:tc>
        <w:tc>
          <w:tcPr>
            <w:tcW w:w="2360" w:type="dxa"/>
          </w:tcPr>
          <w:p w:rsidR="00286663" w:rsidRDefault="00CB3156" w:rsidP="00880347">
            <w:pPr>
              <w:rPr>
                <w:rFonts w:ascii="Times New Roman" w:hAnsi="Times New Roman"/>
                <w:sz w:val="24"/>
                <w:szCs w:val="24"/>
              </w:rPr>
            </w:pPr>
            <w:proofErr w:type="spellStart"/>
            <w:r w:rsidRPr="00CB3156">
              <w:rPr>
                <w:rFonts w:ascii="Times New Roman" w:hAnsi="Times New Roman"/>
                <w:sz w:val="24"/>
                <w:szCs w:val="24"/>
              </w:rPr>
              <w:t>Зопиклон</w:t>
            </w:r>
            <w:proofErr w:type="spellEnd"/>
          </w:p>
        </w:tc>
        <w:tc>
          <w:tcPr>
            <w:tcW w:w="2652" w:type="dxa"/>
          </w:tcPr>
          <w:p w:rsidR="00286663" w:rsidRDefault="00CB3156" w:rsidP="00880347">
            <w:pPr>
              <w:rPr>
                <w:rFonts w:ascii="Times New Roman" w:hAnsi="Times New Roman"/>
                <w:sz w:val="24"/>
                <w:szCs w:val="24"/>
              </w:rPr>
            </w:pPr>
            <w:r>
              <w:rPr>
                <w:rFonts w:ascii="Times New Roman" w:hAnsi="Times New Roman"/>
                <w:sz w:val="24"/>
                <w:szCs w:val="24"/>
              </w:rPr>
              <w:t>Таблетка 7,5 мг</w:t>
            </w:r>
          </w:p>
        </w:tc>
        <w:tc>
          <w:tcPr>
            <w:tcW w:w="1083" w:type="dxa"/>
          </w:tcPr>
          <w:p w:rsidR="00286663" w:rsidRDefault="00CB3156" w:rsidP="00880347">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286663" w:rsidRDefault="00CB3156" w:rsidP="00880347">
            <w:pPr>
              <w:rPr>
                <w:rFonts w:ascii="Times New Roman" w:hAnsi="Times New Roman"/>
                <w:sz w:val="24"/>
                <w:szCs w:val="24"/>
              </w:rPr>
            </w:pPr>
            <w:r>
              <w:rPr>
                <w:rFonts w:ascii="Times New Roman" w:hAnsi="Times New Roman"/>
                <w:sz w:val="24"/>
                <w:szCs w:val="24"/>
              </w:rPr>
              <w:t>6 000</w:t>
            </w:r>
          </w:p>
        </w:tc>
        <w:tc>
          <w:tcPr>
            <w:tcW w:w="2068" w:type="dxa"/>
          </w:tcPr>
          <w:p w:rsidR="00286663" w:rsidRDefault="00CB3156" w:rsidP="00880347">
            <w:pPr>
              <w:rPr>
                <w:rFonts w:ascii="Times New Roman" w:hAnsi="Times New Roman"/>
                <w:sz w:val="24"/>
                <w:szCs w:val="24"/>
              </w:rPr>
            </w:pPr>
            <w:r>
              <w:rPr>
                <w:rFonts w:ascii="Times New Roman" w:hAnsi="Times New Roman"/>
                <w:sz w:val="24"/>
                <w:szCs w:val="24"/>
              </w:rPr>
              <w:t>308 760,00</w:t>
            </w:r>
          </w:p>
        </w:tc>
      </w:tr>
      <w:tr w:rsidR="00BF1D97" w:rsidRPr="00111AEA" w:rsidTr="00E127DE">
        <w:trPr>
          <w:trHeight w:val="850"/>
        </w:trPr>
        <w:tc>
          <w:tcPr>
            <w:tcW w:w="988" w:type="dxa"/>
          </w:tcPr>
          <w:p w:rsidR="00BF1D97" w:rsidRDefault="00BF1D97" w:rsidP="00880347">
            <w:pPr>
              <w:rPr>
                <w:rFonts w:ascii="Times New Roman" w:hAnsi="Times New Roman"/>
                <w:sz w:val="24"/>
                <w:szCs w:val="24"/>
              </w:rPr>
            </w:pPr>
            <w:r>
              <w:rPr>
                <w:rFonts w:ascii="Times New Roman" w:hAnsi="Times New Roman"/>
                <w:sz w:val="24"/>
                <w:szCs w:val="24"/>
              </w:rPr>
              <w:t>6</w:t>
            </w:r>
          </w:p>
        </w:tc>
        <w:tc>
          <w:tcPr>
            <w:tcW w:w="2360" w:type="dxa"/>
          </w:tcPr>
          <w:p w:rsidR="00BF1D97" w:rsidRPr="00286663" w:rsidRDefault="00CB3156" w:rsidP="00880347">
            <w:pPr>
              <w:rPr>
                <w:rFonts w:ascii="Times New Roman" w:hAnsi="Times New Roman"/>
                <w:sz w:val="24"/>
                <w:szCs w:val="24"/>
              </w:rPr>
            </w:pPr>
            <w:proofErr w:type="spellStart"/>
            <w:r w:rsidRPr="00CB3156">
              <w:rPr>
                <w:rFonts w:ascii="Times New Roman" w:hAnsi="Times New Roman"/>
                <w:sz w:val="24"/>
                <w:szCs w:val="24"/>
              </w:rPr>
              <w:t>Карведилол</w:t>
            </w:r>
            <w:proofErr w:type="spellEnd"/>
          </w:p>
        </w:tc>
        <w:tc>
          <w:tcPr>
            <w:tcW w:w="2652" w:type="dxa"/>
          </w:tcPr>
          <w:p w:rsidR="00BF1D97" w:rsidRPr="00286663" w:rsidRDefault="00CB3156" w:rsidP="00880347">
            <w:pPr>
              <w:rPr>
                <w:rFonts w:ascii="Times New Roman" w:hAnsi="Times New Roman"/>
                <w:sz w:val="24"/>
                <w:szCs w:val="24"/>
              </w:rPr>
            </w:pPr>
            <w:r w:rsidRPr="00CB3156">
              <w:rPr>
                <w:rFonts w:ascii="Times New Roman" w:hAnsi="Times New Roman"/>
                <w:sz w:val="24"/>
                <w:szCs w:val="24"/>
              </w:rPr>
              <w:t>таблетка, 6,25мг</w:t>
            </w:r>
          </w:p>
        </w:tc>
        <w:tc>
          <w:tcPr>
            <w:tcW w:w="1083" w:type="dxa"/>
          </w:tcPr>
          <w:p w:rsidR="00BF1D97" w:rsidRDefault="00CB3156" w:rsidP="00880347">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BF1D97" w:rsidRDefault="00CB3156" w:rsidP="00880347">
            <w:pPr>
              <w:rPr>
                <w:rFonts w:ascii="Times New Roman" w:hAnsi="Times New Roman"/>
                <w:sz w:val="24"/>
                <w:szCs w:val="24"/>
              </w:rPr>
            </w:pPr>
            <w:r>
              <w:rPr>
                <w:rFonts w:ascii="Times New Roman" w:hAnsi="Times New Roman"/>
                <w:sz w:val="24"/>
                <w:szCs w:val="24"/>
              </w:rPr>
              <w:t>2 800</w:t>
            </w:r>
          </w:p>
        </w:tc>
        <w:tc>
          <w:tcPr>
            <w:tcW w:w="2068" w:type="dxa"/>
          </w:tcPr>
          <w:p w:rsidR="00BF1D97" w:rsidRDefault="00CB3156" w:rsidP="00880347">
            <w:pPr>
              <w:rPr>
                <w:rFonts w:ascii="Times New Roman" w:hAnsi="Times New Roman"/>
                <w:sz w:val="24"/>
                <w:szCs w:val="24"/>
              </w:rPr>
            </w:pPr>
            <w:r>
              <w:rPr>
                <w:rFonts w:ascii="Times New Roman" w:hAnsi="Times New Roman"/>
                <w:sz w:val="24"/>
                <w:szCs w:val="24"/>
              </w:rPr>
              <w:t>22 596,00</w:t>
            </w:r>
          </w:p>
        </w:tc>
      </w:tr>
      <w:tr w:rsidR="00BF1D97" w:rsidRPr="00111AEA" w:rsidTr="00E127DE">
        <w:trPr>
          <w:trHeight w:val="850"/>
        </w:trPr>
        <w:tc>
          <w:tcPr>
            <w:tcW w:w="988" w:type="dxa"/>
          </w:tcPr>
          <w:p w:rsidR="00BF1D97" w:rsidRDefault="00BF1D97" w:rsidP="00880347">
            <w:pPr>
              <w:rPr>
                <w:rFonts w:ascii="Times New Roman" w:hAnsi="Times New Roman"/>
                <w:sz w:val="24"/>
                <w:szCs w:val="24"/>
              </w:rPr>
            </w:pPr>
            <w:r>
              <w:rPr>
                <w:rFonts w:ascii="Times New Roman" w:hAnsi="Times New Roman"/>
                <w:sz w:val="24"/>
                <w:szCs w:val="24"/>
              </w:rPr>
              <w:t>7</w:t>
            </w:r>
          </w:p>
        </w:tc>
        <w:tc>
          <w:tcPr>
            <w:tcW w:w="2360" w:type="dxa"/>
          </w:tcPr>
          <w:p w:rsidR="00BF1D97" w:rsidRPr="00286663" w:rsidRDefault="00CB3156" w:rsidP="00880347">
            <w:pPr>
              <w:rPr>
                <w:rFonts w:ascii="Times New Roman" w:hAnsi="Times New Roman"/>
                <w:sz w:val="24"/>
                <w:szCs w:val="24"/>
              </w:rPr>
            </w:pPr>
            <w:r w:rsidRPr="00CB3156">
              <w:rPr>
                <w:rFonts w:ascii="Times New Roman" w:hAnsi="Times New Roman"/>
                <w:sz w:val="24"/>
                <w:szCs w:val="24"/>
              </w:rPr>
              <w:t>Клоназепам</w:t>
            </w:r>
          </w:p>
        </w:tc>
        <w:tc>
          <w:tcPr>
            <w:tcW w:w="2652" w:type="dxa"/>
          </w:tcPr>
          <w:p w:rsidR="00BF1D97" w:rsidRPr="00286663" w:rsidRDefault="00CB3156" w:rsidP="00880347">
            <w:pPr>
              <w:rPr>
                <w:rFonts w:ascii="Times New Roman" w:hAnsi="Times New Roman"/>
                <w:sz w:val="24"/>
                <w:szCs w:val="24"/>
              </w:rPr>
            </w:pPr>
            <w:r>
              <w:rPr>
                <w:rFonts w:ascii="Times New Roman" w:hAnsi="Times New Roman"/>
                <w:sz w:val="24"/>
                <w:szCs w:val="24"/>
              </w:rPr>
              <w:t>Таблетка 2 мг</w:t>
            </w:r>
          </w:p>
        </w:tc>
        <w:tc>
          <w:tcPr>
            <w:tcW w:w="1083" w:type="dxa"/>
          </w:tcPr>
          <w:p w:rsidR="00BF1D97" w:rsidRDefault="00CB3156" w:rsidP="00880347">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BF1D97" w:rsidRDefault="00CB3156" w:rsidP="00880347">
            <w:pPr>
              <w:rPr>
                <w:rFonts w:ascii="Times New Roman" w:hAnsi="Times New Roman"/>
                <w:sz w:val="24"/>
                <w:szCs w:val="24"/>
              </w:rPr>
            </w:pPr>
            <w:r>
              <w:rPr>
                <w:rFonts w:ascii="Times New Roman" w:hAnsi="Times New Roman"/>
                <w:sz w:val="24"/>
                <w:szCs w:val="24"/>
              </w:rPr>
              <w:t>60</w:t>
            </w:r>
          </w:p>
        </w:tc>
        <w:tc>
          <w:tcPr>
            <w:tcW w:w="2068" w:type="dxa"/>
          </w:tcPr>
          <w:p w:rsidR="00BF1D97" w:rsidRDefault="00CB3156" w:rsidP="00880347">
            <w:pPr>
              <w:rPr>
                <w:rFonts w:ascii="Times New Roman" w:hAnsi="Times New Roman"/>
                <w:sz w:val="24"/>
                <w:szCs w:val="24"/>
              </w:rPr>
            </w:pPr>
            <w:r>
              <w:rPr>
                <w:rFonts w:ascii="Times New Roman" w:hAnsi="Times New Roman"/>
                <w:sz w:val="24"/>
                <w:szCs w:val="24"/>
              </w:rPr>
              <w:t>1 750,20</w:t>
            </w:r>
          </w:p>
        </w:tc>
      </w:tr>
      <w:tr w:rsidR="00BF1D97" w:rsidRPr="00111AEA" w:rsidTr="00E127DE">
        <w:trPr>
          <w:trHeight w:val="850"/>
        </w:trPr>
        <w:tc>
          <w:tcPr>
            <w:tcW w:w="988" w:type="dxa"/>
          </w:tcPr>
          <w:p w:rsidR="00BF1D97" w:rsidRDefault="00BF1D97" w:rsidP="00880347">
            <w:pPr>
              <w:rPr>
                <w:rFonts w:ascii="Times New Roman" w:hAnsi="Times New Roman"/>
                <w:sz w:val="24"/>
                <w:szCs w:val="24"/>
              </w:rPr>
            </w:pPr>
            <w:r>
              <w:rPr>
                <w:rFonts w:ascii="Times New Roman" w:hAnsi="Times New Roman"/>
                <w:sz w:val="24"/>
                <w:szCs w:val="24"/>
              </w:rPr>
              <w:t>8</w:t>
            </w:r>
          </w:p>
        </w:tc>
        <w:tc>
          <w:tcPr>
            <w:tcW w:w="2360" w:type="dxa"/>
          </w:tcPr>
          <w:p w:rsidR="00BF1D97" w:rsidRPr="00286663" w:rsidRDefault="00CB3156" w:rsidP="00880347">
            <w:pPr>
              <w:rPr>
                <w:rFonts w:ascii="Times New Roman" w:hAnsi="Times New Roman"/>
                <w:sz w:val="24"/>
                <w:szCs w:val="24"/>
              </w:rPr>
            </w:pPr>
            <w:r w:rsidRPr="00CB3156">
              <w:rPr>
                <w:rFonts w:ascii="Times New Roman" w:hAnsi="Times New Roman"/>
                <w:sz w:val="24"/>
                <w:szCs w:val="24"/>
              </w:rPr>
              <w:t>Комплекс аминокислот для парентерального питания не менее 14 аминокислот от 4% или 5%</w:t>
            </w:r>
          </w:p>
        </w:tc>
        <w:tc>
          <w:tcPr>
            <w:tcW w:w="2652" w:type="dxa"/>
          </w:tcPr>
          <w:p w:rsidR="00BF1D97" w:rsidRPr="00286663" w:rsidRDefault="00CB3156" w:rsidP="00880347">
            <w:pPr>
              <w:rPr>
                <w:rFonts w:ascii="Times New Roman" w:hAnsi="Times New Roman"/>
                <w:sz w:val="24"/>
                <w:szCs w:val="24"/>
              </w:rPr>
            </w:pPr>
            <w:r w:rsidRPr="00CB3156">
              <w:rPr>
                <w:rFonts w:ascii="Times New Roman" w:hAnsi="Times New Roman"/>
                <w:sz w:val="24"/>
                <w:szCs w:val="24"/>
              </w:rPr>
              <w:t xml:space="preserve">раствор для </w:t>
            </w:r>
            <w:proofErr w:type="spellStart"/>
            <w:r w:rsidRPr="00CB3156">
              <w:rPr>
                <w:rFonts w:ascii="Times New Roman" w:hAnsi="Times New Roman"/>
                <w:sz w:val="24"/>
                <w:szCs w:val="24"/>
              </w:rPr>
              <w:t>инфузий</w:t>
            </w:r>
            <w:proofErr w:type="spellEnd"/>
            <w:r w:rsidRPr="00CB3156">
              <w:rPr>
                <w:rFonts w:ascii="Times New Roman" w:hAnsi="Times New Roman"/>
                <w:sz w:val="24"/>
                <w:szCs w:val="24"/>
              </w:rPr>
              <w:t xml:space="preserve">  500мл</w:t>
            </w:r>
          </w:p>
        </w:tc>
        <w:tc>
          <w:tcPr>
            <w:tcW w:w="1083" w:type="dxa"/>
          </w:tcPr>
          <w:p w:rsidR="00BF1D97" w:rsidRDefault="00CB3156" w:rsidP="00880347">
            <w:pPr>
              <w:jc w:val="center"/>
              <w:rPr>
                <w:rFonts w:ascii="Times New Roman" w:hAnsi="Times New Roman"/>
                <w:sz w:val="24"/>
                <w:szCs w:val="24"/>
              </w:rPr>
            </w:pPr>
            <w:r>
              <w:rPr>
                <w:rFonts w:ascii="Times New Roman" w:hAnsi="Times New Roman"/>
                <w:sz w:val="24"/>
                <w:szCs w:val="24"/>
              </w:rPr>
              <w:t>флакон</w:t>
            </w:r>
          </w:p>
        </w:tc>
        <w:tc>
          <w:tcPr>
            <w:tcW w:w="1083" w:type="dxa"/>
          </w:tcPr>
          <w:p w:rsidR="00BF1D97" w:rsidRDefault="00CB3156" w:rsidP="00880347">
            <w:pPr>
              <w:rPr>
                <w:rFonts w:ascii="Times New Roman" w:hAnsi="Times New Roman"/>
                <w:sz w:val="24"/>
                <w:szCs w:val="24"/>
              </w:rPr>
            </w:pPr>
            <w:r>
              <w:rPr>
                <w:rFonts w:ascii="Times New Roman" w:hAnsi="Times New Roman"/>
                <w:sz w:val="24"/>
                <w:szCs w:val="24"/>
              </w:rPr>
              <w:t>100</w:t>
            </w:r>
          </w:p>
        </w:tc>
        <w:tc>
          <w:tcPr>
            <w:tcW w:w="2068" w:type="dxa"/>
          </w:tcPr>
          <w:p w:rsidR="00BF1D97" w:rsidRDefault="00CB3156" w:rsidP="00880347">
            <w:pPr>
              <w:rPr>
                <w:rFonts w:ascii="Times New Roman" w:hAnsi="Times New Roman"/>
                <w:sz w:val="24"/>
                <w:szCs w:val="24"/>
              </w:rPr>
            </w:pPr>
            <w:r>
              <w:rPr>
                <w:rFonts w:ascii="Times New Roman" w:hAnsi="Times New Roman"/>
                <w:sz w:val="24"/>
                <w:szCs w:val="24"/>
              </w:rPr>
              <w:t>64 319,00</w:t>
            </w:r>
          </w:p>
        </w:tc>
      </w:tr>
      <w:tr w:rsidR="00BF1D97" w:rsidRPr="00111AEA" w:rsidTr="00E127DE">
        <w:trPr>
          <w:trHeight w:val="850"/>
        </w:trPr>
        <w:tc>
          <w:tcPr>
            <w:tcW w:w="988" w:type="dxa"/>
          </w:tcPr>
          <w:p w:rsidR="00BF1D97" w:rsidRDefault="00BF1D97" w:rsidP="00880347">
            <w:pPr>
              <w:rPr>
                <w:rFonts w:ascii="Times New Roman" w:hAnsi="Times New Roman"/>
                <w:sz w:val="24"/>
                <w:szCs w:val="24"/>
              </w:rPr>
            </w:pPr>
            <w:r>
              <w:rPr>
                <w:rFonts w:ascii="Times New Roman" w:hAnsi="Times New Roman"/>
                <w:sz w:val="24"/>
                <w:szCs w:val="24"/>
              </w:rPr>
              <w:t>9</w:t>
            </w:r>
          </w:p>
        </w:tc>
        <w:tc>
          <w:tcPr>
            <w:tcW w:w="2360" w:type="dxa"/>
          </w:tcPr>
          <w:p w:rsidR="00BF1D97" w:rsidRPr="00286663" w:rsidRDefault="00BE6E46" w:rsidP="00880347">
            <w:pPr>
              <w:rPr>
                <w:rFonts w:ascii="Times New Roman" w:hAnsi="Times New Roman"/>
                <w:sz w:val="24"/>
                <w:szCs w:val="24"/>
              </w:rPr>
            </w:pPr>
            <w:r w:rsidRPr="00BE6E46">
              <w:rPr>
                <w:rFonts w:ascii="Times New Roman" w:hAnsi="Times New Roman"/>
                <w:sz w:val="24"/>
                <w:szCs w:val="24"/>
              </w:rPr>
              <w:t>Комплекс аминокислот для парентерального питания не менее 19 аминокислот</w:t>
            </w:r>
          </w:p>
        </w:tc>
        <w:tc>
          <w:tcPr>
            <w:tcW w:w="2652" w:type="dxa"/>
          </w:tcPr>
          <w:p w:rsidR="00BF1D97" w:rsidRPr="00286663" w:rsidRDefault="00BE6E46" w:rsidP="00880347">
            <w:pPr>
              <w:rPr>
                <w:rFonts w:ascii="Times New Roman" w:hAnsi="Times New Roman"/>
                <w:sz w:val="24"/>
                <w:szCs w:val="24"/>
              </w:rPr>
            </w:pPr>
            <w:r w:rsidRPr="00BE6E46">
              <w:rPr>
                <w:rFonts w:ascii="Times New Roman" w:hAnsi="Times New Roman"/>
                <w:sz w:val="24"/>
                <w:szCs w:val="24"/>
              </w:rPr>
              <w:t xml:space="preserve">раствор для </w:t>
            </w:r>
            <w:proofErr w:type="spellStart"/>
            <w:r w:rsidRPr="00BE6E46">
              <w:rPr>
                <w:rFonts w:ascii="Times New Roman" w:hAnsi="Times New Roman"/>
                <w:sz w:val="24"/>
                <w:szCs w:val="24"/>
              </w:rPr>
              <w:t>инфузий</w:t>
            </w:r>
            <w:proofErr w:type="spellEnd"/>
            <w:r w:rsidRPr="00BE6E46">
              <w:rPr>
                <w:rFonts w:ascii="Times New Roman" w:hAnsi="Times New Roman"/>
                <w:sz w:val="24"/>
                <w:szCs w:val="24"/>
              </w:rPr>
              <w:t xml:space="preserve">  250мл</w:t>
            </w:r>
          </w:p>
        </w:tc>
        <w:tc>
          <w:tcPr>
            <w:tcW w:w="1083" w:type="dxa"/>
          </w:tcPr>
          <w:p w:rsidR="00BF1D97" w:rsidRDefault="00BE6E46" w:rsidP="00880347">
            <w:pPr>
              <w:jc w:val="center"/>
              <w:rPr>
                <w:rFonts w:ascii="Times New Roman" w:hAnsi="Times New Roman"/>
                <w:sz w:val="24"/>
                <w:szCs w:val="24"/>
              </w:rPr>
            </w:pPr>
            <w:r>
              <w:rPr>
                <w:rFonts w:ascii="Times New Roman" w:hAnsi="Times New Roman"/>
                <w:sz w:val="24"/>
                <w:szCs w:val="24"/>
              </w:rPr>
              <w:t>флакон</w:t>
            </w:r>
          </w:p>
        </w:tc>
        <w:tc>
          <w:tcPr>
            <w:tcW w:w="1083" w:type="dxa"/>
          </w:tcPr>
          <w:p w:rsidR="00BF1D97" w:rsidRDefault="00BE6E46" w:rsidP="00880347">
            <w:pPr>
              <w:rPr>
                <w:rFonts w:ascii="Times New Roman" w:hAnsi="Times New Roman"/>
                <w:sz w:val="24"/>
                <w:szCs w:val="24"/>
              </w:rPr>
            </w:pPr>
            <w:r>
              <w:rPr>
                <w:rFonts w:ascii="Times New Roman" w:hAnsi="Times New Roman"/>
                <w:sz w:val="24"/>
                <w:szCs w:val="24"/>
              </w:rPr>
              <w:t>500</w:t>
            </w:r>
          </w:p>
        </w:tc>
        <w:tc>
          <w:tcPr>
            <w:tcW w:w="2068" w:type="dxa"/>
          </w:tcPr>
          <w:p w:rsidR="00BF1D97" w:rsidRDefault="00BE6E46" w:rsidP="00880347">
            <w:pPr>
              <w:rPr>
                <w:rFonts w:ascii="Times New Roman" w:hAnsi="Times New Roman"/>
                <w:sz w:val="24"/>
                <w:szCs w:val="24"/>
              </w:rPr>
            </w:pPr>
            <w:r>
              <w:rPr>
                <w:rFonts w:ascii="Times New Roman" w:hAnsi="Times New Roman"/>
                <w:sz w:val="24"/>
                <w:szCs w:val="24"/>
              </w:rPr>
              <w:t>1 636 125,00</w:t>
            </w:r>
          </w:p>
        </w:tc>
      </w:tr>
      <w:tr w:rsidR="00BF1D97" w:rsidRPr="00111AEA" w:rsidTr="00E127DE">
        <w:trPr>
          <w:trHeight w:val="850"/>
        </w:trPr>
        <w:tc>
          <w:tcPr>
            <w:tcW w:w="988" w:type="dxa"/>
          </w:tcPr>
          <w:p w:rsidR="00BF1D97" w:rsidRDefault="00BF1D97" w:rsidP="00880347">
            <w:pPr>
              <w:rPr>
                <w:rFonts w:ascii="Times New Roman" w:hAnsi="Times New Roman"/>
                <w:sz w:val="24"/>
                <w:szCs w:val="24"/>
              </w:rPr>
            </w:pPr>
            <w:r>
              <w:rPr>
                <w:rFonts w:ascii="Times New Roman" w:hAnsi="Times New Roman"/>
                <w:sz w:val="24"/>
                <w:szCs w:val="24"/>
              </w:rPr>
              <w:t>10</w:t>
            </w:r>
          </w:p>
        </w:tc>
        <w:tc>
          <w:tcPr>
            <w:tcW w:w="2360" w:type="dxa"/>
          </w:tcPr>
          <w:p w:rsidR="00BF1D97" w:rsidRPr="00286663" w:rsidRDefault="00BE6E46" w:rsidP="00880347">
            <w:pPr>
              <w:rPr>
                <w:rFonts w:ascii="Times New Roman" w:hAnsi="Times New Roman"/>
                <w:sz w:val="24"/>
                <w:szCs w:val="24"/>
              </w:rPr>
            </w:pPr>
            <w:r w:rsidRPr="00BE6E46">
              <w:rPr>
                <w:rFonts w:ascii="Times New Roman" w:hAnsi="Times New Roman"/>
                <w:sz w:val="24"/>
                <w:szCs w:val="24"/>
              </w:rPr>
              <w:t>Комплекс аминокислот для парентерального питания не менее 19 аминокислот 10%</w:t>
            </w:r>
          </w:p>
        </w:tc>
        <w:tc>
          <w:tcPr>
            <w:tcW w:w="2652" w:type="dxa"/>
          </w:tcPr>
          <w:p w:rsidR="00BF1D97" w:rsidRPr="00286663" w:rsidRDefault="00BE6E46" w:rsidP="00880347">
            <w:pPr>
              <w:rPr>
                <w:rFonts w:ascii="Times New Roman" w:hAnsi="Times New Roman"/>
                <w:sz w:val="24"/>
                <w:szCs w:val="24"/>
              </w:rPr>
            </w:pPr>
            <w:r w:rsidRPr="00BE6E46">
              <w:rPr>
                <w:rFonts w:ascii="Times New Roman" w:hAnsi="Times New Roman"/>
                <w:sz w:val="24"/>
                <w:szCs w:val="24"/>
              </w:rPr>
              <w:t xml:space="preserve">раствор для </w:t>
            </w:r>
            <w:proofErr w:type="spellStart"/>
            <w:r w:rsidRPr="00BE6E46">
              <w:rPr>
                <w:rFonts w:ascii="Times New Roman" w:hAnsi="Times New Roman"/>
                <w:sz w:val="24"/>
                <w:szCs w:val="24"/>
              </w:rPr>
              <w:t>инфузий</w:t>
            </w:r>
            <w:proofErr w:type="spellEnd"/>
            <w:r w:rsidRPr="00BE6E46">
              <w:rPr>
                <w:rFonts w:ascii="Times New Roman" w:hAnsi="Times New Roman"/>
                <w:sz w:val="24"/>
                <w:szCs w:val="24"/>
              </w:rPr>
              <w:t xml:space="preserve"> 500 мл</w:t>
            </w:r>
          </w:p>
        </w:tc>
        <w:tc>
          <w:tcPr>
            <w:tcW w:w="1083" w:type="dxa"/>
          </w:tcPr>
          <w:p w:rsidR="00BF1D97" w:rsidRDefault="00AE4985" w:rsidP="00880347">
            <w:pPr>
              <w:jc w:val="center"/>
              <w:rPr>
                <w:rFonts w:ascii="Times New Roman" w:hAnsi="Times New Roman"/>
                <w:sz w:val="24"/>
                <w:szCs w:val="24"/>
              </w:rPr>
            </w:pPr>
            <w:r>
              <w:rPr>
                <w:rFonts w:ascii="Times New Roman" w:hAnsi="Times New Roman"/>
                <w:sz w:val="24"/>
                <w:szCs w:val="24"/>
              </w:rPr>
              <w:t>флакон</w:t>
            </w:r>
          </w:p>
        </w:tc>
        <w:tc>
          <w:tcPr>
            <w:tcW w:w="1083" w:type="dxa"/>
          </w:tcPr>
          <w:p w:rsidR="00BF1D97" w:rsidRDefault="00AE4985" w:rsidP="00880347">
            <w:pPr>
              <w:rPr>
                <w:rFonts w:ascii="Times New Roman" w:hAnsi="Times New Roman"/>
                <w:sz w:val="24"/>
                <w:szCs w:val="24"/>
              </w:rPr>
            </w:pPr>
            <w:r>
              <w:rPr>
                <w:rFonts w:ascii="Times New Roman" w:hAnsi="Times New Roman"/>
                <w:sz w:val="24"/>
                <w:szCs w:val="24"/>
              </w:rPr>
              <w:t>500</w:t>
            </w:r>
          </w:p>
        </w:tc>
        <w:tc>
          <w:tcPr>
            <w:tcW w:w="2068" w:type="dxa"/>
          </w:tcPr>
          <w:p w:rsidR="00BF1D97" w:rsidRDefault="00AE4985" w:rsidP="00880347">
            <w:pPr>
              <w:rPr>
                <w:rFonts w:ascii="Times New Roman" w:hAnsi="Times New Roman"/>
                <w:sz w:val="24"/>
                <w:szCs w:val="24"/>
              </w:rPr>
            </w:pPr>
            <w:r>
              <w:rPr>
                <w:rFonts w:ascii="Times New Roman" w:hAnsi="Times New Roman"/>
                <w:sz w:val="24"/>
                <w:szCs w:val="24"/>
              </w:rPr>
              <w:t>482 390,00</w:t>
            </w:r>
          </w:p>
        </w:tc>
      </w:tr>
      <w:tr w:rsidR="00AC168A" w:rsidRPr="00111AEA" w:rsidTr="00E127DE">
        <w:trPr>
          <w:trHeight w:val="850"/>
        </w:trPr>
        <w:tc>
          <w:tcPr>
            <w:tcW w:w="988" w:type="dxa"/>
          </w:tcPr>
          <w:p w:rsidR="00AC168A" w:rsidRDefault="00AC168A" w:rsidP="00880347">
            <w:pPr>
              <w:rPr>
                <w:rFonts w:ascii="Times New Roman" w:hAnsi="Times New Roman"/>
                <w:sz w:val="24"/>
                <w:szCs w:val="24"/>
              </w:rPr>
            </w:pPr>
            <w:r>
              <w:rPr>
                <w:rFonts w:ascii="Times New Roman" w:hAnsi="Times New Roman"/>
                <w:sz w:val="24"/>
                <w:szCs w:val="24"/>
              </w:rPr>
              <w:t>11</w:t>
            </w:r>
          </w:p>
        </w:tc>
        <w:tc>
          <w:tcPr>
            <w:tcW w:w="2360" w:type="dxa"/>
          </w:tcPr>
          <w:p w:rsidR="00AC168A" w:rsidRPr="00286663" w:rsidRDefault="005F5BBE" w:rsidP="00880347">
            <w:pPr>
              <w:rPr>
                <w:rFonts w:ascii="Times New Roman" w:hAnsi="Times New Roman"/>
                <w:sz w:val="24"/>
                <w:szCs w:val="24"/>
              </w:rPr>
            </w:pPr>
            <w:proofErr w:type="spellStart"/>
            <w:r w:rsidRPr="005F5BBE">
              <w:rPr>
                <w:rFonts w:ascii="Times New Roman" w:hAnsi="Times New Roman"/>
                <w:sz w:val="24"/>
                <w:szCs w:val="24"/>
              </w:rPr>
              <w:t>Лерканидипин</w:t>
            </w:r>
            <w:proofErr w:type="spellEnd"/>
          </w:p>
        </w:tc>
        <w:tc>
          <w:tcPr>
            <w:tcW w:w="2652" w:type="dxa"/>
          </w:tcPr>
          <w:p w:rsidR="00AC168A" w:rsidRPr="00286663" w:rsidRDefault="005F5BBE" w:rsidP="00880347">
            <w:pPr>
              <w:rPr>
                <w:rFonts w:ascii="Times New Roman" w:hAnsi="Times New Roman"/>
                <w:sz w:val="24"/>
                <w:szCs w:val="24"/>
              </w:rPr>
            </w:pPr>
            <w:r>
              <w:rPr>
                <w:rFonts w:ascii="Times New Roman" w:hAnsi="Times New Roman"/>
                <w:sz w:val="24"/>
                <w:szCs w:val="24"/>
              </w:rPr>
              <w:t>Таблетка 10 мг</w:t>
            </w:r>
          </w:p>
        </w:tc>
        <w:tc>
          <w:tcPr>
            <w:tcW w:w="1083" w:type="dxa"/>
          </w:tcPr>
          <w:p w:rsidR="00AC168A" w:rsidRDefault="005F5BBE" w:rsidP="00880347">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AC168A" w:rsidRDefault="005F5BBE" w:rsidP="00880347">
            <w:pPr>
              <w:rPr>
                <w:rFonts w:ascii="Times New Roman" w:hAnsi="Times New Roman"/>
                <w:sz w:val="24"/>
                <w:szCs w:val="24"/>
              </w:rPr>
            </w:pPr>
            <w:r>
              <w:rPr>
                <w:rFonts w:ascii="Times New Roman" w:hAnsi="Times New Roman"/>
                <w:sz w:val="24"/>
                <w:szCs w:val="24"/>
              </w:rPr>
              <w:t>3 600</w:t>
            </w:r>
          </w:p>
        </w:tc>
        <w:tc>
          <w:tcPr>
            <w:tcW w:w="2068" w:type="dxa"/>
          </w:tcPr>
          <w:p w:rsidR="00AC168A" w:rsidRDefault="005F5BBE" w:rsidP="00880347">
            <w:pPr>
              <w:rPr>
                <w:rFonts w:ascii="Times New Roman" w:hAnsi="Times New Roman"/>
                <w:sz w:val="24"/>
                <w:szCs w:val="24"/>
              </w:rPr>
            </w:pPr>
            <w:r>
              <w:rPr>
                <w:rFonts w:ascii="Times New Roman" w:hAnsi="Times New Roman"/>
                <w:sz w:val="24"/>
                <w:szCs w:val="24"/>
              </w:rPr>
              <w:t>155 484,00</w:t>
            </w:r>
          </w:p>
        </w:tc>
      </w:tr>
      <w:tr w:rsidR="00CA7AB8" w:rsidRPr="00111AEA" w:rsidTr="00E127DE">
        <w:trPr>
          <w:trHeight w:val="850"/>
        </w:trPr>
        <w:tc>
          <w:tcPr>
            <w:tcW w:w="988" w:type="dxa"/>
          </w:tcPr>
          <w:p w:rsidR="00CA7AB8" w:rsidRDefault="0087386A" w:rsidP="00880347">
            <w:pPr>
              <w:rPr>
                <w:rFonts w:ascii="Times New Roman" w:hAnsi="Times New Roman"/>
                <w:sz w:val="24"/>
                <w:szCs w:val="24"/>
              </w:rPr>
            </w:pPr>
            <w:r>
              <w:rPr>
                <w:rFonts w:ascii="Times New Roman" w:hAnsi="Times New Roman"/>
                <w:sz w:val="24"/>
                <w:szCs w:val="24"/>
              </w:rPr>
              <w:t>13</w:t>
            </w:r>
          </w:p>
        </w:tc>
        <w:tc>
          <w:tcPr>
            <w:tcW w:w="2360" w:type="dxa"/>
          </w:tcPr>
          <w:p w:rsidR="00CA7AB8" w:rsidRPr="00AC168A" w:rsidRDefault="00413375" w:rsidP="00880347">
            <w:pPr>
              <w:rPr>
                <w:rFonts w:ascii="Times New Roman" w:hAnsi="Times New Roman"/>
                <w:sz w:val="24"/>
                <w:szCs w:val="24"/>
              </w:rPr>
            </w:pPr>
            <w:r>
              <w:rPr>
                <w:rFonts w:ascii="Times New Roman" w:hAnsi="Times New Roman"/>
                <w:sz w:val="24"/>
                <w:szCs w:val="24"/>
              </w:rPr>
              <w:t>Морфин</w:t>
            </w:r>
          </w:p>
        </w:tc>
        <w:tc>
          <w:tcPr>
            <w:tcW w:w="2652" w:type="dxa"/>
          </w:tcPr>
          <w:p w:rsidR="00CA7AB8" w:rsidRPr="00AC168A" w:rsidRDefault="00413375" w:rsidP="00880347">
            <w:pPr>
              <w:rPr>
                <w:rFonts w:ascii="Times New Roman" w:hAnsi="Times New Roman"/>
                <w:sz w:val="24"/>
                <w:szCs w:val="24"/>
              </w:rPr>
            </w:pPr>
            <w:r w:rsidRPr="00413375">
              <w:rPr>
                <w:rFonts w:ascii="Times New Roman" w:hAnsi="Times New Roman"/>
                <w:sz w:val="24"/>
                <w:szCs w:val="24"/>
              </w:rPr>
              <w:t>раствор для инъекций 1%  1 мл</w:t>
            </w:r>
          </w:p>
        </w:tc>
        <w:tc>
          <w:tcPr>
            <w:tcW w:w="1083" w:type="dxa"/>
          </w:tcPr>
          <w:p w:rsidR="00CA7AB8" w:rsidRDefault="00413375" w:rsidP="00880347">
            <w:pPr>
              <w:jc w:val="center"/>
              <w:rPr>
                <w:rFonts w:ascii="Times New Roman" w:hAnsi="Times New Roman"/>
                <w:sz w:val="24"/>
                <w:szCs w:val="24"/>
              </w:rPr>
            </w:pPr>
            <w:r>
              <w:rPr>
                <w:rFonts w:ascii="Times New Roman" w:hAnsi="Times New Roman"/>
                <w:sz w:val="24"/>
                <w:szCs w:val="24"/>
              </w:rPr>
              <w:t>ампул</w:t>
            </w:r>
          </w:p>
        </w:tc>
        <w:tc>
          <w:tcPr>
            <w:tcW w:w="1083" w:type="dxa"/>
          </w:tcPr>
          <w:p w:rsidR="00CA7AB8" w:rsidRDefault="00413375" w:rsidP="00880347">
            <w:pPr>
              <w:rPr>
                <w:rFonts w:ascii="Times New Roman" w:hAnsi="Times New Roman"/>
                <w:sz w:val="24"/>
                <w:szCs w:val="24"/>
              </w:rPr>
            </w:pPr>
            <w:r>
              <w:rPr>
                <w:rFonts w:ascii="Times New Roman" w:hAnsi="Times New Roman"/>
                <w:sz w:val="24"/>
                <w:szCs w:val="24"/>
              </w:rPr>
              <w:t>100</w:t>
            </w:r>
          </w:p>
        </w:tc>
        <w:tc>
          <w:tcPr>
            <w:tcW w:w="2068" w:type="dxa"/>
          </w:tcPr>
          <w:p w:rsidR="00CA7AB8" w:rsidRDefault="00413375" w:rsidP="00880347">
            <w:pPr>
              <w:rPr>
                <w:rFonts w:ascii="Times New Roman" w:hAnsi="Times New Roman"/>
                <w:sz w:val="24"/>
                <w:szCs w:val="24"/>
              </w:rPr>
            </w:pPr>
            <w:r>
              <w:rPr>
                <w:rFonts w:ascii="Times New Roman" w:hAnsi="Times New Roman"/>
                <w:sz w:val="24"/>
                <w:szCs w:val="24"/>
              </w:rPr>
              <w:t>8 582,00</w:t>
            </w:r>
          </w:p>
        </w:tc>
      </w:tr>
      <w:tr w:rsidR="00CA7AB8" w:rsidRPr="00111AEA" w:rsidTr="00E127DE">
        <w:trPr>
          <w:trHeight w:val="850"/>
        </w:trPr>
        <w:tc>
          <w:tcPr>
            <w:tcW w:w="988" w:type="dxa"/>
          </w:tcPr>
          <w:p w:rsidR="00CA7AB8" w:rsidRDefault="0087386A" w:rsidP="00880347">
            <w:pPr>
              <w:rPr>
                <w:rFonts w:ascii="Times New Roman" w:hAnsi="Times New Roman"/>
                <w:sz w:val="24"/>
                <w:szCs w:val="24"/>
              </w:rPr>
            </w:pPr>
            <w:r>
              <w:rPr>
                <w:rFonts w:ascii="Times New Roman" w:hAnsi="Times New Roman"/>
                <w:sz w:val="24"/>
                <w:szCs w:val="24"/>
              </w:rPr>
              <w:lastRenderedPageBreak/>
              <w:t>14</w:t>
            </w:r>
          </w:p>
        </w:tc>
        <w:tc>
          <w:tcPr>
            <w:tcW w:w="2360" w:type="dxa"/>
          </w:tcPr>
          <w:p w:rsidR="00CA7AB8" w:rsidRPr="00AC168A" w:rsidRDefault="00413375" w:rsidP="00880347">
            <w:pPr>
              <w:rPr>
                <w:rFonts w:ascii="Times New Roman" w:hAnsi="Times New Roman"/>
                <w:sz w:val="24"/>
                <w:szCs w:val="24"/>
              </w:rPr>
            </w:pPr>
            <w:r w:rsidRPr="00413375">
              <w:rPr>
                <w:rFonts w:ascii="Times New Roman" w:hAnsi="Times New Roman"/>
                <w:sz w:val="24"/>
                <w:szCs w:val="24"/>
              </w:rPr>
              <w:t xml:space="preserve">Натрия </w:t>
            </w:r>
            <w:proofErr w:type="spellStart"/>
            <w:r w:rsidRPr="00413375">
              <w:rPr>
                <w:rFonts w:ascii="Times New Roman" w:hAnsi="Times New Roman"/>
                <w:sz w:val="24"/>
                <w:szCs w:val="24"/>
              </w:rPr>
              <w:t>оксибат</w:t>
            </w:r>
            <w:proofErr w:type="spellEnd"/>
          </w:p>
        </w:tc>
        <w:tc>
          <w:tcPr>
            <w:tcW w:w="2652" w:type="dxa"/>
          </w:tcPr>
          <w:p w:rsidR="00CA7AB8" w:rsidRPr="00AC168A" w:rsidRDefault="00413375" w:rsidP="00880347">
            <w:pPr>
              <w:rPr>
                <w:rFonts w:ascii="Times New Roman" w:hAnsi="Times New Roman"/>
                <w:sz w:val="24"/>
                <w:szCs w:val="24"/>
              </w:rPr>
            </w:pPr>
            <w:r w:rsidRPr="00413375">
              <w:rPr>
                <w:rFonts w:ascii="Times New Roman" w:hAnsi="Times New Roman"/>
                <w:sz w:val="24"/>
                <w:szCs w:val="24"/>
              </w:rPr>
              <w:t>раствор для инъекций 200мг/мл объем 10мл</w:t>
            </w:r>
          </w:p>
        </w:tc>
        <w:tc>
          <w:tcPr>
            <w:tcW w:w="1083" w:type="dxa"/>
          </w:tcPr>
          <w:p w:rsidR="00CA7AB8" w:rsidRDefault="00413375" w:rsidP="00880347">
            <w:pPr>
              <w:jc w:val="center"/>
              <w:rPr>
                <w:rFonts w:ascii="Times New Roman" w:hAnsi="Times New Roman"/>
                <w:sz w:val="24"/>
                <w:szCs w:val="24"/>
              </w:rPr>
            </w:pPr>
            <w:r>
              <w:rPr>
                <w:rFonts w:ascii="Times New Roman" w:hAnsi="Times New Roman"/>
                <w:sz w:val="24"/>
                <w:szCs w:val="24"/>
              </w:rPr>
              <w:t>ампул</w:t>
            </w:r>
          </w:p>
        </w:tc>
        <w:tc>
          <w:tcPr>
            <w:tcW w:w="1083" w:type="dxa"/>
          </w:tcPr>
          <w:p w:rsidR="00CA7AB8" w:rsidRDefault="00413375" w:rsidP="00880347">
            <w:pPr>
              <w:rPr>
                <w:rFonts w:ascii="Times New Roman" w:hAnsi="Times New Roman"/>
                <w:sz w:val="24"/>
                <w:szCs w:val="24"/>
              </w:rPr>
            </w:pPr>
            <w:r>
              <w:rPr>
                <w:rFonts w:ascii="Times New Roman" w:hAnsi="Times New Roman"/>
                <w:sz w:val="24"/>
                <w:szCs w:val="24"/>
              </w:rPr>
              <w:t>300</w:t>
            </w:r>
          </w:p>
        </w:tc>
        <w:tc>
          <w:tcPr>
            <w:tcW w:w="2068" w:type="dxa"/>
          </w:tcPr>
          <w:p w:rsidR="00CA7AB8" w:rsidRDefault="00413375" w:rsidP="00880347">
            <w:pPr>
              <w:rPr>
                <w:rFonts w:ascii="Times New Roman" w:hAnsi="Times New Roman"/>
                <w:sz w:val="24"/>
                <w:szCs w:val="24"/>
              </w:rPr>
            </w:pPr>
            <w:r>
              <w:rPr>
                <w:rFonts w:ascii="Times New Roman" w:hAnsi="Times New Roman"/>
                <w:sz w:val="24"/>
                <w:szCs w:val="24"/>
              </w:rPr>
              <w:t>41 256,00</w:t>
            </w:r>
          </w:p>
        </w:tc>
      </w:tr>
    </w:tbl>
    <w:p w:rsidR="00FB2F8E" w:rsidRDefault="00FB2F8E" w:rsidP="00880347">
      <w:pPr>
        <w:ind w:firstLine="851"/>
        <w:rPr>
          <w:rFonts w:ascii="Times New Roman" w:hAnsi="Times New Roman"/>
          <w:b/>
          <w:sz w:val="28"/>
          <w:szCs w:val="28"/>
        </w:rPr>
      </w:pPr>
    </w:p>
    <w:p w:rsidR="00FB2F8E" w:rsidRDefault="00FB2F8E" w:rsidP="00880347">
      <w:pPr>
        <w:ind w:firstLine="851"/>
        <w:rPr>
          <w:rFonts w:ascii="Times New Roman" w:hAnsi="Times New Roman"/>
          <w:b/>
          <w:sz w:val="28"/>
          <w:szCs w:val="28"/>
        </w:rPr>
      </w:pPr>
    </w:p>
    <w:p w:rsidR="00FB2F8E" w:rsidRDefault="00FB2F8E" w:rsidP="00880347">
      <w:pPr>
        <w:ind w:firstLine="851"/>
        <w:rPr>
          <w:rFonts w:ascii="Times New Roman" w:hAnsi="Times New Roman"/>
          <w:b/>
          <w:sz w:val="28"/>
          <w:szCs w:val="28"/>
        </w:rPr>
      </w:pPr>
    </w:p>
    <w:p w:rsidR="002D39D6" w:rsidRDefault="002D39D6" w:rsidP="00880347">
      <w:pPr>
        <w:rPr>
          <w:rFonts w:ascii="Times New Roman" w:hAnsi="Times New Roman"/>
          <w:b/>
          <w:sz w:val="28"/>
          <w:szCs w:val="28"/>
        </w:rPr>
      </w:pPr>
    </w:p>
    <w:p w:rsidR="002D39D6" w:rsidRDefault="002D39D6" w:rsidP="00880347">
      <w:pPr>
        <w:ind w:firstLine="851"/>
        <w:rPr>
          <w:rFonts w:ascii="Times New Roman" w:hAnsi="Times New Roman"/>
          <w:b/>
          <w:sz w:val="28"/>
          <w:szCs w:val="28"/>
        </w:rPr>
      </w:pPr>
    </w:p>
    <w:p w:rsidR="00E127DE" w:rsidRDefault="009307B7" w:rsidP="00880347">
      <w:pPr>
        <w:spacing w:after="0" w:line="240" w:lineRule="auto"/>
        <w:ind w:firstLine="284"/>
        <w:contextualSpacing/>
        <w:rPr>
          <w:rFonts w:ascii="Times New Roman" w:hAnsi="Times New Roman"/>
          <w:b/>
          <w:sz w:val="24"/>
          <w:szCs w:val="24"/>
          <w:lang w:val="kk-KZ"/>
        </w:rPr>
      </w:pPr>
      <w:r>
        <w:rPr>
          <w:rFonts w:ascii="Times New Roman" w:hAnsi="Times New Roman"/>
          <w:b/>
          <w:sz w:val="24"/>
          <w:szCs w:val="24"/>
          <w:lang w:val="kk-KZ"/>
        </w:rPr>
        <w:t xml:space="preserve">         </w:t>
      </w:r>
      <w:r w:rsidR="008248D4" w:rsidRPr="00196960">
        <w:rPr>
          <w:rFonts w:ascii="Times New Roman" w:hAnsi="Times New Roman"/>
          <w:b/>
          <w:sz w:val="24"/>
          <w:szCs w:val="24"/>
          <w:lang w:val="kk-KZ"/>
        </w:rPr>
        <w:t>Уполномоченный представитель</w:t>
      </w:r>
    </w:p>
    <w:p w:rsidR="00FB2F8E" w:rsidRDefault="008248D4" w:rsidP="00880347">
      <w:pPr>
        <w:spacing w:after="0" w:line="240" w:lineRule="auto"/>
        <w:ind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w:t>
      </w:r>
      <w:r w:rsidR="00E127DE">
        <w:rPr>
          <w:rFonts w:ascii="Times New Roman" w:hAnsi="Times New Roman"/>
          <w:b/>
          <w:sz w:val="24"/>
          <w:szCs w:val="24"/>
          <w:lang w:val="kk-KZ"/>
        </w:rPr>
        <w:t xml:space="preserve">  </w:t>
      </w:r>
      <w:r>
        <w:rPr>
          <w:rFonts w:ascii="Times New Roman" w:hAnsi="Times New Roman"/>
          <w:b/>
          <w:sz w:val="24"/>
          <w:szCs w:val="24"/>
          <w:lang w:val="kk-KZ"/>
        </w:rPr>
        <w:t xml:space="preserve">           </w:t>
      </w:r>
      <w:r w:rsidR="000F249E">
        <w:rPr>
          <w:rFonts w:ascii="Times New Roman" w:hAnsi="Times New Roman"/>
          <w:b/>
          <w:sz w:val="24"/>
          <w:szCs w:val="24"/>
          <w:lang w:val="kk-KZ"/>
        </w:rPr>
        <w:t xml:space="preserve">                     </w:t>
      </w:r>
      <w:r>
        <w:rPr>
          <w:rFonts w:ascii="Times New Roman" w:hAnsi="Times New Roman"/>
          <w:b/>
          <w:sz w:val="24"/>
          <w:szCs w:val="24"/>
          <w:lang w:val="kk-KZ"/>
        </w:rPr>
        <w:t xml:space="preserve">            Г. Амрина</w:t>
      </w:r>
    </w:p>
    <w:sectPr w:rsidR="00FB2F8E" w:rsidSect="00880347">
      <w:pgSz w:w="11906" w:h="16838"/>
      <w:pgMar w:top="851"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365D0"/>
    <w:rsid w:val="000626AC"/>
    <w:rsid w:val="000E45E0"/>
    <w:rsid w:val="000F249E"/>
    <w:rsid w:val="00111AEA"/>
    <w:rsid w:val="0013123C"/>
    <w:rsid w:val="00181C8D"/>
    <w:rsid w:val="00286663"/>
    <w:rsid w:val="002C297D"/>
    <w:rsid w:val="002C767C"/>
    <w:rsid w:val="002D39D6"/>
    <w:rsid w:val="00352B43"/>
    <w:rsid w:val="00370FF8"/>
    <w:rsid w:val="003817B7"/>
    <w:rsid w:val="003A7761"/>
    <w:rsid w:val="00413375"/>
    <w:rsid w:val="0044674D"/>
    <w:rsid w:val="004D5FD8"/>
    <w:rsid w:val="005229FA"/>
    <w:rsid w:val="00546EEE"/>
    <w:rsid w:val="0056256E"/>
    <w:rsid w:val="005928DF"/>
    <w:rsid w:val="005E1A7A"/>
    <w:rsid w:val="005E3FB0"/>
    <w:rsid w:val="005F2414"/>
    <w:rsid w:val="005F5BBE"/>
    <w:rsid w:val="00694456"/>
    <w:rsid w:val="006A44C8"/>
    <w:rsid w:val="007A0BBA"/>
    <w:rsid w:val="00820957"/>
    <w:rsid w:val="008248D4"/>
    <w:rsid w:val="0087386A"/>
    <w:rsid w:val="00880347"/>
    <w:rsid w:val="008E6A14"/>
    <w:rsid w:val="009307B7"/>
    <w:rsid w:val="009A18C3"/>
    <w:rsid w:val="009F5887"/>
    <w:rsid w:val="00A175BD"/>
    <w:rsid w:val="00A27F7E"/>
    <w:rsid w:val="00AC168A"/>
    <w:rsid w:val="00AD16A1"/>
    <w:rsid w:val="00AE4985"/>
    <w:rsid w:val="00B120DF"/>
    <w:rsid w:val="00B473A3"/>
    <w:rsid w:val="00B91A63"/>
    <w:rsid w:val="00B95311"/>
    <w:rsid w:val="00BC113C"/>
    <w:rsid w:val="00BD1396"/>
    <w:rsid w:val="00BE6E46"/>
    <w:rsid w:val="00BF1D97"/>
    <w:rsid w:val="00CA7AB8"/>
    <w:rsid w:val="00CB3156"/>
    <w:rsid w:val="00D1144D"/>
    <w:rsid w:val="00E127DE"/>
    <w:rsid w:val="00E42893"/>
    <w:rsid w:val="00E627A9"/>
    <w:rsid w:val="00E901B8"/>
    <w:rsid w:val="00E925E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2017-01-31T02:45:00Z</cp:lastPrinted>
  <dcterms:created xsi:type="dcterms:W3CDTF">2017-01-30T08:30:00Z</dcterms:created>
  <dcterms:modified xsi:type="dcterms:W3CDTF">2017-02-10T08:20:00Z</dcterms:modified>
</cp:coreProperties>
</file>