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B2" w:rsidRPr="00627C04" w:rsidRDefault="00CF19B2" w:rsidP="00CF19B2">
      <w:pPr>
        <w:rPr>
          <w:color w:val="000000"/>
          <w:sz w:val="18"/>
          <w:szCs w:val="18"/>
        </w:rPr>
      </w:pPr>
      <w:r w:rsidRPr="00627C04">
        <w:t>Приложение 2 к тендерной документации</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1) Товар должен быть зарегистрирован в Республике Казахстан и готов к применению в соответствии с Кодексом Республики Казахстан от 7 июля 2020 года «О здоровье народа и системе здравоохранения» №360-VI (далее – Кодекс) и порядком государственной регистрации, установленным уполномоченным органом в области здравоохранения;</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CF19B2" w:rsidRPr="00D81474" w:rsidRDefault="00CF19B2" w:rsidP="00CF19B2">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rsidR="00CF19B2" w:rsidRDefault="00CF19B2" w:rsidP="00CF19B2">
      <w:pPr>
        <w:autoSpaceDE w:val="0"/>
        <w:autoSpaceDN w:val="0"/>
        <w:ind w:firstLine="400"/>
        <w:contextualSpacing/>
        <w:mirrorIndents/>
        <w:jc w:val="both"/>
        <w:rPr>
          <w:sz w:val="18"/>
          <w:szCs w:val="18"/>
        </w:rPr>
      </w:pPr>
    </w:p>
    <w:p w:rsidR="00CF19B2" w:rsidRPr="00D81474" w:rsidRDefault="00CF19B2" w:rsidP="00CF19B2">
      <w:pPr>
        <w:autoSpaceDE w:val="0"/>
        <w:autoSpaceDN w:val="0"/>
        <w:ind w:firstLine="400"/>
        <w:contextualSpacing/>
        <w:mirrorIndents/>
        <w:jc w:val="both"/>
        <w:rPr>
          <w:sz w:val="18"/>
          <w:szCs w:val="18"/>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26"/>
        <w:gridCol w:w="11056"/>
      </w:tblGrid>
      <w:tr w:rsidR="00CF19B2" w:rsidRPr="00044F00" w:rsidTr="00CF19B2">
        <w:trPr>
          <w:trHeight w:val="170"/>
        </w:trPr>
        <w:tc>
          <w:tcPr>
            <w:tcW w:w="704"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Полная характеристика (описание) товара</w:t>
            </w:r>
          </w:p>
        </w:tc>
      </w:tr>
      <w:tr w:rsidR="00093694" w:rsidRPr="00044F00" w:rsidTr="00CF19B2">
        <w:trPr>
          <w:trHeight w:val="170"/>
        </w:trPr>
        <w:tc>
          <w:tcPr>
            <w:tcW w:w="704" w:type="dxa"/>
            <w:shd w:val="clear" w:color="auto" w:fill="auto"/>
          </w:tcPr>
          <w:p w:rsidR="00093694" w:rsidRDefault="00093694" w:rsidP="00093694">
            <w:pPr>
              <w:ind w:right="-251"/>
              <w:rPr>
                <w:b/>
                <w:bCs/>
                <w:color w:val="000000"/>
                <w:sz w:val="20"/>
                <w:szCs w:val="20"/>
              </w:rPr>
            </w:pPr>
          </w:p>
          <w:p w:rsidR="00093694" w:rsidRPr="00B16325" w:rsidRDefault="00093694" w:rsidP="00093694">
            <w:pPr>
              <w:ind w:right="-251"/>
              <w:rPr>
                <w:b/>
                <w:bCs/>
                <w:color w:val="000000"/>
                <w:sz w:val="20"/>
                <w:szCs w:val="20"/>
              </w:rPr>
            </w:pPr>
            <w:r>
              <w:rPr>
                <w:b/>
                <w:bCs/>
                <w:color w:val="000000"/>
                <w:sz w:val="20"/>
                <w:szCs w:val="20"/>
              </w:rPr>
              <w:t>1</w:t>
            </w:r>
          </w:p>
        </w:tc>
        <w:tc>
          <w:tcPr>
            <w:tcW w:w="3226" w:type="dxa"/>
            <w:shd w:val="clear" w:color="000000" w:fill="FFFFFF"/>
            <w:vAlign w:val="center"/>
          </w:tcPr>
          <w:p w:rsidR="00093694" w:rsidRPr="00FE6058" w:rsidRDefault="00093694" w:rsidP="00093694">
            <w:pPr>
              <w:rPr>
                <w:sz w:val="18"/>
                <w:szCs w:val="18"/>
                <w:lang w:val="en-US"/>
              </w:rPr>
            </w:pPr>
            <w:r w:rsidRPr="00FE6058">
              <w:rPr>
                <w:sz w:val="18"/>
                <w:szCs w:val="18"/>
                <w:lang w:val="en-US"/>
              </w:rPr>
              <w:t xml:space="preserve">ACL </w:t>
            </w:r>
            <w:r w:rsidRPr="00FE6058">
              <w:rPr>
                <w:sz w:val="18"/>
                <w:szCs w:val="18"/>
              </w:rPr>
              <w:t>ТОР</w:t>
            </w:r>
            <w:r w:rsidRPr="00FE6058">
              <w:rPr>
                <w:sz w:val="18"/>
                <w:szCs w:val="18"/>
                <w:lang w:val="en-US"/>
              </w:rPr>
              <w:t xml:space="preserve"> CUVETTES /</w:t>
            </w:r>
            <w:r w:rsidRPr="00FE6058">
              <w:rPr>
                <w:sz w:val="18"/>
                <w:szCs w:val="18"/>
              </w:rPr>
              <w:t>Кюветы</w:t>
            </w:r>
            <w:r w:rsidRPr="00FE6058">
              <w:rPr>
                <w:sz w:val="18"/>
                <w:szCs w:val="18"/>
                <w:lang w:val="en-US"/>
              </w:rPr>
              <w:t xml:space="preserve">  ACL TOP, 29400100</w:t>
            </w:r>
          </w:p>
        </w:tc>
        <w:tc>
          <w:tcPr>
            <w:tcW w:w="11056" w:type="dxa"/>
            <w:shd w:val="clear" w:color="auto" w:fill="auto"/>
            <w:vAlign w:val="center"/>
          </w:tcPr>
          <w:p w:rsidR="00093694" w:rsidRPr="007A3740" w:rsidRDefault="00093694" w:rsidP="00093694">
            <w:pPr>
              <w:rPr>
                <w:sz w:val="18"/>
                <w:szCs w:val="18"/>
                <w:lang w:val="kk-KZ"/>
              </w:rPr>
            </w:pPr>
            <w:r w:rsidRPr="00FE6058">
              <w:rPr>
                <w:sz w:val="18"/>
                <w:szCs w:val="18"/>
                <w:lang w:val="kk-KZ"/>
              </w:rPr>
              <w:t>Измерительные ячейки. Предназначены для проведения исследований системы гемостаза на автоматических коагулометрах. Материал: оптически прозрачный пластик. Поставляется в картонных упаковках (6х100х4 =2400 шт.)29400100</w:t>
            </w:r>
          </w:p>
        </w:tc>
      </w:tr>
      <w:tr w:rsidR="00093694" w:rsidRPr="00044F00" w:rsidTr="00880381">
        <w:trPr>
          <w:trHeight w:val="170"/>
        </w:trPr>
        <w:tc>
          <w:tcPr>
            <w:tcW w:w="704" w:type="dxa"/>
            <w:shd w:val="clear" w:color="auto" w:fill="auto"/>
          </w:tcPr>
          <w:p w:rsidR="00093694" w:rsidRPr="00B16325" w:rsidRDefault="00093694" w:rsidP="00093694">
            <w:pPr>
              <w:rPr>
                <w:b/>
                <w:bCs/>
                <w:color w:val="000000"/>
                <w:sz w:val="20"/>
                <w:szCs w:val="20"/>
              </w:rPr>
            </w:pPr>
            <w:r>
              <w:rPr>
                <w:b/>
                <w:bCs/>
                <w:color w:val="000000"/>
                <w:sz w:val="20"/>
                <w:szCs w:val="20"/>
              </w:rPr>
              <w:t>2</w:t>
            </w:r>
          </w:p>
        </w:tc>
        <w:tc>
          <w:tcPr>
            <w:tcW w:w="3226" w:type="dxa"/>
            <w:shd w:val="clear" w:color="000000" w:fill="FFFFFF"/>
            <w:vAlign w:val="center"/>
          </w:tcPr>
          <w:p w:rsidR="00093694" w:rsidRPr="007A3740" w:rsidRDefault="00093694" w:rsidP="00093694">
            <w:pPr>
              <w:rPr>
                <w:sz w:val="18"/>
                <w:szCs w:val="18"/>
              </w:rPr>
            </w:pPr>
            <w:r w:rsidRPr="00FE6058">
              <w:rPr>
                <w:sz w:val="18"/>
                <w:szCs w:val="18"/>
              </w:rPr>
              <w:t xml:space="preserve">Elecsys Наконечники ASSAY TIP 30*120, 11706799001  </w:t>
            </w:r>
          </w:p>
        </w:tc>
        <w:tc>
          <w:tcPr>
            <w:tcW w:w="11056" w:type="dxa"/>
            <w:shd w:val="clear" w:color="auto" w:fill="auto"/>
          </w:tcPr>
          <w:p w:rsidR="00093694" w:rsidRPr="007A3740" w:rsidRDefault="00093694" w:rsidP="00093694">
            <w:pPr>
              <w:rPr>
                <w:sz w:val="18"/>
                <w:szCs w:val="18"/>
              </w:rPr>
            </w:pPr>
            <w:r w:rsidRPr="00FE6058">
              <w:rPr>
                <w:sz w:val="18"/>
                <w:szCs w:val="18"/>
              </w:rPr>
              <w:t>Elecsys Наконечники ASSAY TIP 30*120, 11706799001. Одноразовые наконечники для переноса реактивов и образца в реакционные ячейки. В упаковке 30 поддонов по 120 наконечников. Хранение при 15 - 25 °C</w:t>
            </w:r>
          </w:p>
        </w:tc>
      </w:tr>
      <w:tr w:rsidR="00093694" w:rsidRPr="00044F00" w:rsidTr="00880381">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3</w:t>
            </w:r>
          </w:p>
        </w:tc>
        <w:tc>
          <w:tcPr>
            <w:tcW w:w="3226" w:type="dxa"/>
            <w:shd w:val="clear" w:color="000000" w:fill="FFFFFF"/>
            <w:vAlign w:val="center"/>
          </w:tcPr>
          <w:p w:rsidR="00093694" w:rsidRPr="007A3740" w:rsidRDefault="00093694" w:rsidP="00093694">
            <w:pPr>
              <w:rPr>
                <w:sz w:val="18"/>
                <w:szCs w:val="18"/>
              </w:rPr>
            </w:pPr>
            <w:r w:rsidRPr="00FE6058">
              <w:rPr>
                <w:sz w:val="18"/>
                <w:szCs w:val="18"/>
              </w:rPr>
              <w:t>Иглы BD Vacutainer Flashback Needle  для забора венозной крови размером 21G x1 (0,8х25мм)код 450042</w:t>
            </w:r>
          </w:p>
        </w:tc>
        <w:tc>
          <w:tcPr>
            <w:tcW w:w="11056" w:type="dxa"/>
            <w:shd w:val="clear" w:color="auto" w:fill="auto"/>
          </w:tcPr>
          <w:p w:rsidR="00093694" w:rsidRPr="007A3740" w:rsidRDefault="00093694" w:rsidP="00093694">
            <w:pPr>
              <w:rPr>
                <w:sz w:val="18"/>
                <w:szCs w:val="18"/>
              </w:rPr>
            </w:pPr>
            <w:r w:rsidRPr="00FE6058">
              <w:rPr>
                <w:sz w:val="18"/>
                <w:szCs w:val="18"/>
              </w:rPr>
              <w:t>Игла двусторонняя. Размет иглы - 21G x1 (0,8х25мм)код 450042. Стерильная.Изготовлена из нержавеющей стали.Покрыта силиконом. С прозрачной камерой. Длина прозрачной камеры 6мм, объем камеры 4мкл крови. Конец иглы имеет двойной косоугольный срез с тройной заточкой. Наличие точки на муфте иглы, для корректного ориентирования заточки иглы по отношению к вене пациента.</w:t>
            </w:r>
          </w:p>
        </w:tc>
      </w:tr>
      <w:tr w:rsidR="00093694" w:rsidRPr="00044F00" w:rsidTr="00880381">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4</w:t>
            </w:r>
          </w:p>
        </w:tc>
        <w:tc>
          <w:tcPr>
            <w:tcW w:w="3226" w:type="dxa"/>
            <w:shd w:val="clear" w:color="000000" w:fill="FFFFFF"/>
            <w:vAlign w:val="center"/>
          </w:tcPr>
          <w:p w:rsidR="00093694" w:rsidRPr="007A3740" w:rsidRDefault="00093694" w:rsidP="00093694">
            <w:pPr>
              <w:rPr>
                <w:sz w:val="18"/>
                <w:szCs w:val="18"/>
              </w:rPr>
            </w:pPr>
            <w:r w:rsidRPr="00FE6058">
              <w:rPr>
                <w:sz w:val="18"/>
                <w:szCs w:val="18"/>
              </w:rPr>
              <w:t>Кассеты с тест-полосками Cobas u pack(400),06334601001</w:t>
            </w:r>
          </w:p>
        </w:tc>
        <w:tc>
          <w:tcPr>
            <w:tcW w:w="11056" w:type="dxa"/>
            <w:shd w:val="clear" w:color="auto" w:fill="auto"/>
          </w:tcPr>
          <w:p w:rsidR="00093694" w:rsidRPr="007A3740" w:rsidRDefault="00093694" w:rsidP="00093694">
            <w:pPr>
              <w:jc w:val="both"/>
              <w:rPr>
                <w:sz w:val="18"/>
                <w:szCs w:val="18"/>
              </w:rPr>
            </w:pPr>
            <w:r w:rsidRPr="00FE6058">
              <w:rPr>
                <w:sz w:val="18"/>
                <w:szCs w:val="18"/>
              </w:rPr>
              <w:t>Кассеты с тест-полосками Cobas u pack(400),06334601001. Назначение Кассета cobas u представляет собой кассету с тест-полосками для in vitro количественного и полуколичественного определения уровня pH, лейкоцитов, нитритов, белков, глюкозы, кетонов, уробилиногена, билирубина, цвета и эритроцитов в моче при использовании анализатора осадка мочи cobas u 601. Реагенты В каждом тесте на 1 см 2 индикаторной бумаги содержится: pH: Бромтимоловый синий 13.9 мкг; метиловый красный 1.2 мкг; фенолфталеин 8.6 мкг Лейкоциты: Эфир индоксилкарбоновой кислоты 15.5 мкг; метоксиморфолинобензол соль диазония 5.5 мкг Нитрит: 3-гидрокси-1,2,3,4-тетрагидро-7,8-бензохинолин 33.5 мкг; сульфаниламид 29.1 мкг Белок: 3’,3’’,5’,5’’-тетрахлорфенол-3,4,5,6-тетрабромосульфофталеин 13.9 мкг Глюкоза: 3,3’,5,5’-тетраметилбензидин 103.5 мкг; ГОД 6 Ед., ПОД 35 Ед. Кетоновые тела: Нитропруссид натрия 157.2 мкг Уробилиноген: 4-метоксибензен-диазоний-тетрафлуороборат 67.7 мкг Билирубин: 2,6-дихлорбензен-диазоний-тетрафторборат 16.7 мкг Кровь: 3,3’,5,5’-тетраметилбензидин 52.8 мкг; 2,5-диметил-2,5-дигидропироксигексан 297.2 мкг. Хранение и стабильность Хранить кассету при 2</w:t>
            </w:r>
            <w:r w:rsidRPr="00FE6058">
              <w:rPr>
                <w:rFonts w:ascii="Cambria Math" w:hAnsi="Cambria Math" w:cs="Cambria Math"/>
                <w:sz w:val="18"/>
                <w:szCs w:val="18"/>
              </w:rPr>
              <w:t>‑</w:t>
            </w:r>
            <w:r w:rsidRPr="00FE6058">
              <w:rPr>
                <w:sz w:val="18"/>
                <w:szCs w:val="18"/>
              </w:rPr>
              <w:t xml:space="preserve">30 °C. После загрузки кассеты в анализатор тест-полоски сохраняют стабильность в плотно закрытой кассете в течение 14 дней.  </w:t>
            </w:r>
          </w:p>
        </w:tc>
      </w:tr>
      <w:tr w:rsidR="00093694" w:rsidRPr="00044F00" w:rsidTr="00880381">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5</w:t>
            </w:r>
          </w:p>
        </w:tc>
        <w:tc>
          <w:tcPr>
            <w:tcW w:w="3226" w:type="dxa"/>
            <w:shd w:val="clear" w:color="000000" w:fill="FFFFFF"/>
            <w:vAlign w:val="center"/>
          </w:tcPr>
          <w:p w:rsidR="00093694" w:rsidRPr="007A3740" w:rsidRDefault="00093694" w:rsidP="00093694">
            <w:pPr>
              <w:rPr>
                <w:sz w:val="18"/>
                <w:szCs w:val="18"/>
              </w:rPr>
            </w:pPr>
            <w:r w:rsidRPr="00FE6058">
              <w:rPr>
                <w:sz w:val="18"/>
                <w:szCs w:val="18"/>
              </w:rPr>
              <w:t>Контейнер для биопроб 100мл с крышкой, (инвид.упк, максимальный объем 130 мл)</w:t>
            </w:r>
          </w:p>
        </w:tc>
        <w:tc>
          <w:tcPr>
            <w:tcW w:w="11056" w:type="dxa"/>
            <w:shd w:val="clear" w:color="auto" w:fill="auto"/>
          </w:tcPr>
          <w:p w:rsidR="00093694" w:rsidRPr="007A3740" w:rsidRDefault="00093694" w:rsidP="00093694">
            <w:pPr>
              <w:rPr>
                <w:sz w:val="18"/>
                <w:szCs w:val="18"/>
              </w:rPr>
            </w:pPr>
            <w:r w:rsidRPr="00FE6058">
              <w:rPr>
                <w:sz w:val="18"/>
                <w:szCs w:val="18"/>
              </w:rPr>
              <w:t>Контейнеры диаметр 62мм, высота 75мм, номинальная емкость 130 мл. Баночки простерилизованы в заводских условиях. Производятся из химически-нейтрального полистирола, что полностью исключает попадание в биоматериал посторонних примесей. Плотно навинчивающаяся крышка позволяет избежать расплескивания или испарения биоматериала.</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6</w:t>
            </w:r>
          </w:p>
        </w:tc>
        <w:tc>
          <w:tcPr>
            <w:tcW w:w="3226" w:type="dxa"/>
            <w:shd w:val="clear" w:color="000000" w:fill="FFFFFF"/>
          </w:tcPr>
          <w:p w:rsidR="00093694" w:rsidRPr="007A3740" w:rsidRDefault="00093694" w:rsidP="00093694">
            <w:pPr>
              <w:rPr>
                <w:sz w:val="18"/>
                <w:szCs w:val="18"/>
              </w:rPr>
            </w:pPr>
            <w:r w:rsidRPr="00FE6058">
              <w:rPr>
                <w:sz w:val="18"/>
                <w:szCs w:val="18"/>
              </w:rPr>
              <w:t xml:space="preserve">Кюветы (400) Cobas,06390552001  </w:t>
            </w:r>
          </w:p>
        </w:tc>
        <w:tc>
          <w:tcPr>
            <w:tcW w:w="11056" w:type="dxa"/>
            <w:shd w:val="clear" w:color="auto" w:fill="auto"/>
          </w:tcPr>
          <w:p w:rsidR="00093694" w:rsidRPr="007A3740" w:rsidRDefault="00093694" w:rsidP="00093694">
            <w:pPr>
              <w:jc w:val="both"/>
              <w:rPr>
                <w:sz w:val="18"/>
                <w:szCs w:val="18"/>
              </w:rPr>
            </w:pPr>
            <w:r w:rsidRPr="00FE6058">
              <w:rPr>
                <w:sz w:val="18"/>
                <w:szCs w:val="18"/>
              </w:rPr>
              <w:t>Кюветы (400) Cobas,06390552001. Назначение Кювета cobas u представляет собой кассету, содержащую кюветы для количественного in vitro определения эритроцитов и лейкоцитов, полуколичественного определения клеток плоского эпителия и неплоскоклеточных эпителиальных клеток, бактерий, гиалиновых цилиндров и качественного определения патологических цилиндров, кристаллов, дрожжей, слизи и спермы в моче при использовании автоматического анализатора осадка мочи cobas u 701. Хранение и стабильность Кювету cobas u необходимо хранить при температуре 2</w:t>
            </w:r>
            <w:r w:rsidRPr="00FE6058">
              <w:rPr>
                <w:rFonts w:ascii="Cambria Math" w:hAnsi="Cambria Math" w:cs="Cambria Math"/>
                <w:sz w:val="18"/>
                <w:szCs w:val="18"/>
              </w:rPr>
              <w:t>‑</w:t>
            </w:r>
            <w:r w:rsidRPr="00FE6058">
              <w:rPr>
                <w:sz w:val="18"/>
                <w:szCs w:val="18"/>
              </w:rPr>
              <w:t xml:space="preserve">40 °C.   </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7</w:t>
            </w:r>
          </w:p>
        </w:tc>
        <w:tc>
          <w:tcPr>
            <w:tcW w:w="3226" w:type="dxa"/>
            <w:shd w:val="clear" w:color="000000" w:fill="FFFFFF"/>
          </w:tcPr>
          <w:p w:rsidR="00093694" w:rsidRPr="007A3740" w:rsidRDefault="00093694" w:rsidP="00093694">
            <w:pPr>
              <w:rPr>
                <w:sz w:val="18"/>
                <w:szCs w:val="18"/>
              </w:rPr>
            </w:pPr>
            <w:r w:rsidRPr="00FE6058">
              <w:rPr>
                <w:sz w:val="18"/>
                <w:szCs w:val="18"/>
              </w:rPr>
              <w:t>Микрокюветы Cuvette Cobas Integra, 21043862001</w:t>
            </w:r>
          </w:p>
        </w:tc>
        <w:tc>
          <w:tcPr>
            <w:tcW w:w="11056" w:type="dxa"/>
            <w:shd w:val="clear" w:color="auto" w:fill="auto"/>
          </w:tcPr>
          <w:p w:rsidR="00093694" w:rsidRPr="007A3740" w:rsidRDefault="00093694" w:rsidP="00093694">
            <w:pPr>
              <w:jc w:val="both"/>
              <w:rPr>
                <w:sz w:val="18"/>
                <w:szCs w:val="18"/>
              </w:rPr>
            </w:pPr>
            <w:r w:rsidRPr="0098408F">
              <w:rPr>
                <w:sz w:val="18"/>
                <w:szCs w:val="18"/>
              </w:rPr>
              <w:t>Микрокюветы Cuvette Cobas Integra,21043862001</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8</w:t>
            </w:r>
          </w:p>
        </w:tc>
        <w:tc>
          <w:tcPr>
            <w:tcW w:w="3226" w:type="dxa"/>
            <w:shd w:val="clear" w:color="000000" w:fill="FFFFFF"/>
          </w:tcPr>
          <w:p w:rsidR="00093694" w:rsidRPr="007A3740" w:rsidRDefault="00093694" w:rsidP="00093694">
            <w:pPr>
              <w:rPr>
                <w:sz w:val="18"/>
                <w:szCs w:val="18"/>
              </w:rPr>
            </w:pPr>
            <w:r w:rsidRPr="0098408F">
              <w:rPr>
                <w:sz w:val="18"/>
                <w:szCs w:val="18"/>
              </w:rPr>
              <w:t xml:space="preserve">Бумага для ЭКГ  </w:t>
            </w:r>
          </w:p>
        </w:tc>
        <w:tc>
          <w:tcPr>
            <w:tcW w:w="11056" w:type="dxa"/>
            <w:shd w:val="clear" w:color="auto" w:fill="auto"/>
          </w:tcPr>
          <w:p w:rsidR="00093694" w:rsidRPr="007A3740" w:rsidRDefault="00093694" w:rsidP="00093694">
            <w:pPr>
              <w:jc w:val="both"/>
              <w:rPr>
                <w:sz w:val="18"/>
                <w:szCs w:val="18"/>
              </w:rPr>
            </w:pPr>
            <w:r w:rsidRPr="0098408F">
              <w:rPr>
                <w:sz w:val="18"/>
                <w:szCs w:val="18"/>
              </w:rPr>
              <w:t>Бумага диаграмная  210*140*200 для ЭКГ аппарата Nihon Kohden FQW 210-3-140</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9</w:t>
            </w:r>
          </w:p>
        </w:tc>
        <w:tc>
          <w:tcPr>
            <w:tcW w:w="3226" w:type="dxa"/>
            <w:shd w:val="clear" w:color="000000" w:fill="FFFFFF"/>
          </w:tcPr>
          <w:p w:rsidR="00093694" w:rsidRPr="007A3740" w:rsidRDefault="00093694" w:rsidP="00093694">
            <w:pPr>
              <w:rPr>
                <w:sz w:val="18"/>
                <w:szCs w:val="18"/>
              </w:rPr>
            </w:pPr>
            <w:r w:rsidRPr="00FC2745">
              <w:rPr>
                <w:sz w:val="18"/>
                <w:szCs w:val="18"/>
              </w:rPr>
              <w:t>Датчик линейный ультразвуковой совместимый с УЗ SONOSCAPE S40 Exp</w:t>
            </w:r>
          </w:p>
        </w:tc>
        <w:tc>
          <w:tcPr>
            <w:tcW w:w="11056" w:type="dxa"/>
            <w:shd w:val="clear" w:color="auto" w:fill="auto"/>
          </w:tcPr>
          <w:p w:rsidR="00093694" w:rsidRPr="007A3740" w:rsidRDefault="00093694" w:rsidP="00093694">
            <w:pPr>
              <w:jc w:val="both"/>
              <w:rPr>
                <w:sz w:val="18"/>
                <w:szCs w:val="18"/>
              </w:rPr>
            </w:pPr>
            <w:r w:rsidRPr="00FC2745">
              <w:rPr>
                <w:sz w:val="18"/>
                <w:szCs w:val="18"/>
              </w:rPr>
              <w:t>высокочастотный сосудистый высокой плотности L742 (Vascular, Small Parts, MSK etc.), 4.0-16MHz/38mm. (192элемента)</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10</w:t>
            </w:r>
          </w:p>
        </w:tc>
        <w:tc>
          <w:tcPr>
            <w:tcW w:w="3226" w:type="dxa"/>
            <w:shd w:val="clear" w:color="000000" w:fill="FFFFFF"/>
          </w:tcPr>
          <w:p w:rsidR="00093694" w:rsidRPr="007A3740" w:rsidRDefault="00093694" w:rsidP="00093694">
            <w:pPr>
              <w:rPr>
                <w:sz w:val="18"/>
                <w:szCs w:val="18"/>
              </w:rPr>
            </w:pPr>
            <w:r w:rsidRPr="00FC2745">
              <w:rPr>
                <w:sz w:val="18"/>
                <w:szCs w:val="18"/>
              </w:rPr>
              <w:t>Набор Шприц Dual pack: Колба 200мл-2шт, трубка Handi-Fil-2 шт, Y-образная сп магистраль с двумя контрольными клапанами (Opti Vantage)</w:t>
            </w:r>
          </w:p>
        </w:tc>
        <w:tc>
          <w:tcPr>
            <w:tcW w:w="11056" w:type="dxa"/>
            <w:shd w:val="clear" w:color="auto" w:fill="auto"/>
          </w:tcPr>
          <w:p w:rsidR="00093694" w:rsidRPr="007A3740" w:rsidRDefault="00093694" w:rsidP="00093694">
            <w:pPr>
              <w:jc w:val="both"/>
              <w:rPr>
                <w:sz w:val="18"/>
                <w:szCs w:val="18"/>
              </w:rPr>
            </w:pPr>
            <w:r w:rsidRPr="00FC2745">
              <w:rPr>
                <w:sz w:val="18"/>
                <w:szCs w:val="18"/>
              </w:rPr>
              <w:t>Колба 200мл-2шт, трубка Handi-Fil-2 шт, Y-образная сп магистраль с двумя контрольными клапанами для стационарного КТ</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11</w:t>
            </w:r>
          </w:p>
        </w:tc>
        <w:tc>
          <w:tcPr>
            <w:tcW w:w="3226" w:type="dxa"/>
            <w:shd w:val="clear" w:color="000000" w:fill="FFFFFF"/>
          </w:tcPr>
          <w:p w:rsidR="00093694" w:rsidRPr="007A3740" w:rsidRDefault="00093694" w:rsidP="00093694">
            <w:pPr>
              <w:rPr>
                <w:sz w:val="18"/>
                <w:szCs w:val="18"/>
              </w:rPr>
            </w:pPr>
            <w:r w:rsidRPr="00FC2745">
              <w:rPr>
                <w:sz w:val="18"/>
                <w:szCs w:val="18"/>
              </w:rPr>
              <w:t>Оригинальный кабель к регистратору Astrocard® HE12 N, производства ЗАО "МЕДИТЕК". Кабель отведений пациента для ЭКГхолтера 12канала 10 leads к регистратору Astrocard® HE12N (с дисплеем)</w:t>
            </w:r>
          </w:p>
        </w:tc>
        <w:tc>
          <w:tcPr>
            <w:tcW w:w="11056" w:type="dxa"/>
            <w:shd w:val="clear" w:color="auto" w:fill="auto"/>
          </w:tcPr>
          <w:p w:rsidR="00093694" w:rsidRPr="007A3740" w:rsidRDefault="00093694" w:rsidP="00093694">
            <w:pPr>
              <w:jc w:val="both"/>
              <w:rPr>
                <w:sz w:val="18"/>
                <w:szCs w:val="18"/>
              </w:rPr>
            </w:pPr>
            <w:r w:rsidRPr="00FC2745">
              <w:rPr>
                <w:sz w:val="18"/>
                <w:szCs w:val="18"/>
              </w:rPr>
              <w:t>Оригинальный кабель к регистратору Astrocard® HE12 N, производства ЗАО "МЕДИТЕК". Кабель отведений пациента для ЭКГхолтера 12канала 10 leads к регистратору Astrocard® HE12N (с дисплеем)</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12</w:t>
            </w:r>
          </w:p>
        </w:tc>
        <w:tc>
          <w:tcPr>
            <w:tcW w:w="3226" w:type="dxa"/>
            <w:shd w:val="clear" w:color="000000" w:fill="FFFFFF"/>
          </w:tcPr>
          <w:p w:rsidR="00093694" w:rsidRPr="007A3740" w:rsidRDefault="00093694" w:rsidP="00093694">
            <w:pPr>
              <w:rPr>
                <w:sz w:val="18"/>
                <w:szCs w:val="18"/>
              </w:rPr>
            </w:pPr>
            <w:r w:rsidRPr="00FC2745">
              <w:rPr>
                <w:sz w:val="18"/>
                <w:szCs w:val="18"/>
              </w:rPr>
              <w:t>Оригинальный кабель к регистратору Astrocard® HE12, производства ЗАО "МЕДИТЕК". Кабель отведений пациента для ЭКГхолтера 12канала 10 leads к регистратору Astrocard® HE12 (без дисплея)</w:t>
            </w:r>
          </w:p>
        </w:tc>
        <w:tc>
          <w:tcPr>
            <w:tcW w:w="11056" w:type="dxa"/>
            <w:shd w:val="clear" w:color="auto" w:fill="auto"/>
          </w:tcPr>
          <w:p w:rsidR="00093694" w:rsidRPr="007A3740" w:rsidRDefault="00093694" w:rsidP="00093694">
            <w:pPr>
              <w:jc w:val="both"/>
              <w:rPr>
                <w:sz w:val="18"/>
                <w:szCs w:val="18"/>
              </w:rPr>
            </w:pPr>
            <w:r w:rsidRPr="00FC2745">
              <w:rPr>
                <w:sz w:val="18"/>
                <w:szCs w:val="18"/>
              </w:rPr>
              <w:t>Оригинальный кабель к регистратору Astrocard® HE12, производства ЗАО "МЕДИТЕК". Кабель отведений пациента для ЭКГхолтера 12канала 10 leads к регистратору Astrocard® HE12 (без дисплея)</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13</w:t>
            </w:r>
          </w:p>
        </w:tc>
        <w:tc>
          <w:tcPr>
            <w:tcW w:w="3226" w:type="dxa"/>
            <w:shd w:val="clear" w:color="000000" w:fill="FFFFFF"/>
          </w:tcPr>
          <w:p w:rsidR="00093694" w:rsidRPr="007A3740" w:rsidRDefault="00093694" w:rsidP="00093694">
            <w:pPr>
              <w:rPr>
                <w:sz w:val="18"/>
                <w:szCs w:val="18"/>
              </w:rPr>
            </w:pPr>
            <w:r w:rsidRPr="00FC2745">
              <w:rPr>
                <w:sz w:val="18"/>
                <w:szCs w:val="18"/>
              </w:rPr>
              <w:t xml:space="preserve">Трубка насос ХD2020  </w:t>
            </w:r>
          </w:p>
        </w:tc>
        <w:tc>
          <w:tcPr>
            <w:tcW w:w="11056" w:type="dxa"/>
            <w:shd w:val="clear" w:color="auto" w:fill="auto"/>
          </w:tcPr>
          <w:p w:rsidR="00093694" w:rsidRPr="007A3740" w:rsidRDefault="00093694" w:rsidP="00093694">
            <w:pPr>
              <w:jc w:val="both"/>
              <w:rPr>
                <w:sz w:val="18"/>
                <w:szCs w:val="18"/>
              </w:rPr>
            </w:pPr>
            <w:r w:rsidRPr="00FC2745">
              <w:rPr>
                <w:sz w:val="18"/>
                <w:szCs w:val="18"/>
              </w:rPr>
              <w:t>Трубка насоса, подходящая для всех инжекторов поколений XD 200x. Используется в течение 24 часа для любого количества инъекций. Три подключения для флаконов, каждое имеет фильтр для воздуха. Специальный фильтр для мелких частиц. Встроенная система контроля давления. Проверена на прочность по выдерживанию давления. Проверена на совместимость с КВ. Апирогенная. Без латекса.</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14</w:t>
            </w:r>
          </w:p>
        </w:tc>
        <w:tc>
          <w:tcPr>
            <w:tcW w:w="3226" w:type="dxa"/>
            <w:shd w:val="clear" w:color="000000" w:fill="FFFFFF"/>
          </w:tcPr>
          <w:p w:rsidR="00093694" w:rsidRPr="007A3740" w:rsidRDefault="00093694" w:rsidP="00093694">
            <w:pPr>
              <w:rPr>
                <w:sz w:val="18"/>
                <w:szCs w:val="18"/>
              </w:rPr>
            </w:pPr>
            <w:r w:rsidRPr="00FC2745">
              <w:rPr>
                <w:sz w:val="18"/>
                <w:szCs w:val="18"/>
              </w:rPr>
              <w:t>Трубка пациента, длина 250см ХD2040</w:t>
            </w:r>
          </w:p>
        </w:tc>
        <w:tc>
          <w:tcPr>
            <w:tcW w:w="11056" w:type="dxa"/>
            <w:shd w:val="clear" w:color="auto" w:fill="auto"/>
          </w:tcPr>
          <w:p w:rsidR="00093694" w:rsidRPr="007A3740" w:rsidRDefault="00093694" w:rsidP="00093694">
            <w:pPr>
              <w:jc w:val="both"/>
              <w:rPr>
                <w:sz w:val="18"/>
                <w:szCs w:val="18"/>
              </w:rPr>
            </w:pPr>
            <w:r w:rsidRPr="00FC2745">
              <w:rPr>
                <w:sz w:val="18"/>
                <w:szCs w:val="18"/>
              </w:rPr>
              <w:t>Трубка пациента, подходящая для всех инжекторов поколений XD 200x. Используется для любого количества инъекций, вводимых одному пациенту, смена и выброс после каждого пациента. Длина 250см. 2 клапана, предотвращающих обратный ток жидкости. Проверена на прочность по выдерживанию давления. Проверена на совместимость с КВ. Апирогенная. Без латекса.</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15</w:t>
            </w:r>
          </w:p>
        </w:tc>
        <w:tc>
          <w:tcPr>
            <w:tcW w:w="3226" w:type="dxa"/>
            <w:shd w:val="clear" w:color="000000" w:fill="FFFFFF"/>
          </w:tcPr>
          <w:p w:rsidR="00093694" w:rsidRPr="007A3740" w:rsidRDefault="00093694" w:rsidP="00093694">
            <w:pPr>
              <w:rPr>
                <w:sz w:val="18"/>
                <w:szCs w:val="18"/>
              </w:rPr>
            </w:pPr>
            <w:r w:rsidRPr="00FC2745">
              <w:rPr>
                <w:sz w:val="18"/>
                <w:szCs w:val="18"/>
              </w:rPr>
              <w:t>Инкубационные флаконы BACT/ALERT FA Plus из комплекта Автоматический бактериологический анализатор культур крови и микобактерий  BacT/Alert 3D Combo,t  +15 +30 С (100 шт/уп) (100х30мл) (BioMerieux inc., США )</w:t>
            </w:r>
          </w:p>
        </w:tc>
        <w:tc>
          <w:tcPr>
            <w:tcW w:w="11056" w:type="dxa"/>
            <w:shd w:val="clear" w:color="auto" w:fill="auto"/>
          </w:tcPr>
          <w:p w:rsidR="00093694" w:rsidRPr="007A3740" w:rsidRDefault="00093694" w:rsidP="00093694">
            <w:pPr>
              <w:jc w:val="both"/>
              <w:rPr>
                <w:sz w:val="18"/>
                <w:szCs w:val="18"/>
              </w:rPr>
            </w:pPr>
            <w:r w:rsidRPr="00FC2745">
              <w:rPr>
                <w:sz w:val="18"/>
                <w:szCs w:val="18"/>
              </w:rPr>
              <w:t>Пластиковые флаконы с питательной средой и адсорбирущими полимерными гранулами для определения анаэробной флоры  при работе на бактериологическом анализаторе культур крови и микобактерий  BacT/Alert 3D Combo</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16</w:t>
            </w:r>
          </w:p>
        </w:tc>
        <w:tc>
          <w:tcPr>
            <w:tcW w:w="3226" w:type="dxa"/>
            <w:shd w:val="clear" w:color="000000" w:fill="FFFFFF"/>
          </w:tcPr>
          <w:p w:rsidR="00093694" w:rsidRPr="007A3740" w:rsidRDefault="00093694" w:rsidP="00093694">
            <w:pPr>
              <w:rPr>
                <w:sz w:val="18"/>
                <w:szCs w:val="18"/>
              </w:rPr>
            </w:pPr>
            <w:r w:rsidRPr="00FC2745">
              <w:rPr>
                <w:sz w:val="18"/>
                <w:szCs w:val="18"/>
              </w:rPr>
              <w:t>Инкубационные флаконы BACT/ALERT FN Plus из комплекта Автоматический бактериологический анализатор культур крови и микобактерий  BacT/Alert 3D Combo,t  +15 +30 С (100 шт/уп) (100х30мл) (BioMerieux inc., США )</w:t>
            </w:r>
          </w:p>
        </w:tc>
        <w:tc>
          <w:tcPr>
            <w:tcW w:w="11056" w:type="dxa"/>
            <w:shd w:val="clear" w:color="auto" w:fill="auto"/>
          </w:tcPr>
          <w:p w:rsidR="00093694" w:rsidRPr="007A3740" w:rsidRDefault="00093694" w:rsidP="00093694">
            <w:pPr>
              <w:jc w:val="both"/>
              <w:rPr>
                <w:sz w:val="18"/>
                <w:szCs w:val="18"/>
              </w:rPr>
            </w:pPr>
            <w:r w:rsidRPr="00FC2745">
              <w:rPr>
                <w:sz w:val="18"/>
                <w:szCs w:val="18"/>
              </w:rPr>
              <w:t>Пластиковые флаконы с питательной средой и адсорбирущими полимерными гранулами для определения аэробной флоры  при работе на бактериологическом анализаторе культур крови и микобактерий  BacT/Alert 3D Combo</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17</w:t>
            </w:r>
          </w:p>
        </w:tc>
        <w:tc>
          <w:tcPr>
            <w:tcW w:w="3226" w:type="dxa"/>
            <w:shd w:val="clear" w:color="000000" w:fill="FFFFFF"/>
          </w:tcPr>
          <w:p w:rsidR="00093694" w:rsidRPr="007A3740" w:rsidRDefault="00093694" w:rsidP="00093694">
            <w:pPr>
              <w:rPr>
                <w:sz w:val="18"/>
                <w:szCs w:val="18"/>
              </w:rPr>
            </w:pPr>
            <w:r w:rsidRPr="00FC2745">
              <w:rPr>
                <w:sz w:val="18"/>
                <w:szCs w:val="18"/>
              </w:rPr>
              <w:t>Инкубационные флаконы BACT/ALERT PF Plus из комплекта Автоматический бактериологический анализатор культур крови и микобактерий  BacT/Alert 3D Combo,t  +15 +30 С (100 шт/уп) (100х30мл) (BioMerieux inc., США )</w:t>
            </w:r>
          </w:p>
        </w:tc>
        <w:tc>
          <w:tcPr>
            <w:tcW w:w="11056" w:type="dxa"/>
            <w:shd w:val="clear" w:color="auto" w:fill="auto"/>
          </w:tcPr>
          <w:p w:rsidR="00093694" w:rsidRPr="007A3740" w:rsidRDefault="00093694" w:rsidP="00093694">
            <w:pPr>
              <w:jc w:val="both"/>
              <w:rPr>
                <w:sz w:val="18"/>
                <w:szCs w:val="18"/>
              </w:rPr>
            </w:pPr>
            <w:r w:rsidRPr="00FC2745">
              <w:rPr>
                <w:sz w:val="18"/>
                <w:szCs w:val="18"/>
              </w:rPr>
              <w:t>Пластиковые флаконы с питательной средой и адсорбирущими полимерными гранулами для определения аэробной и факультативно анаэробной флоры  в педиатрических образцах при работе на бактериологическом анализаторе культур крови и микобактерий  BacT/Alert 3D Combo</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18</w:t>
            </w:r>
          </w:p>
        </w:tc>
        <w:tc>
          <w:tcPr>
            <w:tcW w:w="3226" w:type="dxa"/>
            <w:shd w:val="clear" w:color="000000" w:fill="FFFFFF"/>
          </w:tcPr>
          <w:p w:rsidR="00093694" w:rsidRPr="007A3740" w:rsidRDefault="00093694" w:rsidP="00093694">
            <w:pPr>
              <w:rPr>
                <w:sz w:val="18"/>
                <w:szCs w:val="18"/>
              </w:rPr>
            </w:pPr>
            <w:r w:rsidRPr="00FC2745">
              <w:rPr>
                <w:sz w:val="18"/>
                <w:szCs w:val="18"/>
              </w:rPr>
              <w:t>Чашки Петри ТБН-2, стеклянные 100*20мм</w:t>
            </w:r>
          </w:p>
        </w:tc>
        <w:tc>
          <w:tcPr>
            <w:tcW w:w="11056" w:type="dxa"/>
            <w:shd w:val="clear" w:color="auto" w:fill="auto"/>
          </w:tcPr>
          <w:p w:rsidR="00093694" w:rsidRPr="007A3740" w:rsidRDefault="00093694" w:rsidP="00093694">
            <w:pPr>
              <w:jc w:val="both"/>
              <w:rPr>
                <w:sz w:val="18"/>
                <w:szCs w:val="18"/>
              </w:rPr>
            </w:pPr>
            <w:r w:rsidRPr="00FC2745">
              <w:rPr>
                <w:sz w:val="18"/>
                <w:szCs w:val="18"/>
              </w:rPr>
              <w:t>Чашки Петри ТБН-2 , стеклянные 100*20мм</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19</w:t>
            </w:r>
          </w:p>
        </w:tc>
        <w:tc>
          <w:tcPr>
            <w:tcW w:w="3226" w:type="dxa"/>
            <w:shd w:val="clear" w:color="000000" w:fill="FFFFFF"/>
          </w:tcPr>
          <w:p w:rsidR="00093694" w:rsidRPr="00FC2745" w:rsidRDefault="00093694" w:rsidP="00093694">
            <w:pPr>
              <w:rPr>
                <w:sz w:val="18"/>
                <w:szCs w:val="18"/>
              </w:rPr>
            </w:pPr>
            <w:r w:rsidRPr="00DF5587">
              <w:rPr>
                <w:sz w:val="18"/>
                <w:szCs w:val="18"/>
              </w:rPr>
              <w:t>Набор для обслуживания анализатора ACL elite Pro</w:t>
            </w:r>
          </w:p>
        </w:tc>
        <w:tc>
          <w:tcPr>
            <w:tcW w:w="11056" w:type="dxa"/>
            <w:shd w:val="clear" w:color="auto" w:fill="auto"/>
          </w:tcPr>
          <w:p w:rsidR="00093694" w:rsidRPr="00FC2745" w:rsidRDefault="00093694" w:rsidP="00093694">
            <w:pPr>
              <w:jc w:val="both"/>
              <w:rPr>
                <w:sz w:val="18"/>
                <w:szCs w:val="18"/>
              </w:rPr>
            </w:pPr>
            <w:r w:rsidRPr="00DF5587">
              <w:rPr>
                <w:sz w:val="18"/>
                <w:szCs w:val="18"/>
              </w:rPr>
              <w:t>Набор для обслуживания анализатора ACL elite Pro</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20</w:t>
            </w:r>
          </w:p>
        </w:tc>
        <w:tc>
          <w:tcPr>
            <w:tcW w:w="3226" w:type="dxa"/>
            <w:shd w:val="clear" w:color="000000" w:fill="FFFFFF"/>
          </w:tcPr>
          <w:p w:rsidR="00093694" w:rsidRPr="00DF5587" w:rsidRDefault="00093694" w:rsidP="00093694">
            <w:pPr>
              <w:rPr>
                <w:sz w:val="18"/>
                <w:szCs w:val="18"/>
              </w:rPr>
            </w:pPr>
            <w:r w:rsidRPr="00DF5587">
              <w:rPr>
                <w:sz w:val="18"/>
                <w:szCs w:val="18"/>
              </w:rPr>
              <w:t>Пробирки лабораторные биохимичские (16х120мм)</w:t>
            </w:r>
          </w:p>
        </w:tc>
        <w:tc>
          <w:tcPr>
            <w:tcW w:w="11056" w:type="dxa"/>
            <w:shd w:val="clear" w:color="auto" w:fill="auto"/>
          </w:tcPr>
          <w:p w:rsidR="00093694" w:rsidRPr="00DF5587" w:rsidRDefault="00093694" w:rsidP="00093694">
            <w:pPr>
              <w:jc w:val="both"/>
              <w:rPr>
                <w:sz w:val="18"/>
                <w:szCs w:val="18"/>
              </w:rPr>
            </w:pPr>
            <w:r w:rsidRPr="00DF5587">
              <w:rPr>
                <w:sz w:val="18"/>
                <w:szCs w:val="18"/>
              </w:rPr>
              <w:t>Пробирка используется в аналитических работах разного профиля, химических лабораториях, а так же в медицинской практике, для забора биоматериала и проведения биохимических исследований.  Пробирка лабораторная ПБХ2-16х120 мм, Высота-150 мм, Наружный диаметр-16,0±0,5 мм, Упаковка-100 шт. Изготовлена из стекла</w:t>
            </w:r>
          </w:p>
        </w:tc>
      </w:tr>
      <w:tr w:rsidR="00093694" w:rsidRPr="00044F00" w:rsidTr="002402E6">
        <w:trPr>
          <w:trHeight w:val="170"/>
        </w:trPr>
        <w:tc>
          <w:tcPr>
            <w:tcW w:w="704" w:type="dxa"/>
            <w:shd w:val="clear" w:color="auto" w:fill="auto"/>
          </w:tcPr>
          <w:p w:rsidR="00093694" w:rsidRDefault="00093694" w:rsidP="00093694">
            <w:pPr>
              <w:rPr>
                <w:b/>
                <w:bCs/>
                <w:color w:val="000000"/>
                <w:sz w:val="20"/>
                <w:szCs w:val="20"/>
              </w:rPr>
            </w:pPr>
            <w:r>
              <w:rPr>
                <w:b/>
                <w:bCs/>
                <w:color w:val="000000"/>
                <w:sz w:val="20"/>
                <w:szCs w:val="20"/>
              </w:rPr>
              <w:t>21</w:t>
            </w:r>
          </w:p>
        </w:tc>
        <w:tc>
          <w:tcPr>
            <w:tcW w:w="3226" w:type="dxa"/>
            <w:shd w:val="clear" w:color="000000" w:fill="FFFFFF"/>
          </w:tcPr>
          <w:p w:rsidR="00093694" w:rsidRPr="00DF5587" w:rsidRDefault="00093694" w:rsidP="00093694">
            <w:pPr>
              <w:rPr>
                <w:sz w:val="18"/>
                <w:szCs w:val="18"/>
              </w:rPr>
            </w:pPr>
            <w:r w:rsidRPr="00DF5587">
              <w:rPr>
                <w:sz w:val="18"/>
                <w:szCs w:val="18"/>
              </w:rPr>
              <w:t>Стекло предметное 76*25*2мм с шлифованными краями (упк/50шт,Китай)</w:t>
            </w:r>
          </w:p>
        </w:tc>
        <w:tc>
          <w:tcPr>
            <w:tcW w:w="11056" w:type="dxa"/>
            <w:shd w:val="clear" w:color="auto" w:fill="auto"/>
          </w:tcPr>
          <w:p w:rsidR="00093694" w:rsidRPr="00DF5587" w:rsidRDefault="00093694" w:rsidP="00093694">
            <w:pPr>
              <w:jc w:val="both"/>
              <w:rPr>
                <w:sz w:val="18"/>
                <w:szCs w:val="18"/>
              </w:rPr>
            </w:pPr>
            <w:r w:rsidRPr="00DF5587">
              <w:rPr>
                <w:sz w:val="18"/>
                <w:szCs w:val="18"/>
              </w:rPr>
              <w:t>Стекло предметное 76*25*2мм с шлифованными краями (упк/50шт,Китай)</w:t>
            </w:r>
          </w:p>
        </w:tc>
      </w:tr>
    </w:tbl>
    <w:p w:rsidR="00CE4115" w:rsidRDefault="00093694">
      <w:bookmarkStart w:id="0" w:name="_GoBack"/>
      <w:bookmarkEnd w:id="0"/>
    </w:p>
    <w:sectPr w:rsidR="00CE4115" w:rsidSect="00CF19B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B2"/>
    <w:rsid w:val="00093694"/>
    <w:rsid w:val="00AF6BBC"/>
    <w:rsid w:val="00C6181F"/>
    <w:rsid w:val="00CF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6730"/>
  <w15:chartTrackingRefBased/>
  <w15:docId w15:val="{691193AC-4456-473B-94FF-5CC57D42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Дузбаев Еркобек Серикович</dc:creator>
  <cp:keywords/>
  <dc:description/>
  <cp:lastModifiedBy>Дузбаев Еркобек Серикович</cp:lastModifiedBy>
  <cp:revision>2</cp:revision>
  <dcterms:created xsi:type="dcterms:W3CDTF">2023-11-30T08:43:00Z</dcterms:created>
  <dcterms:modified xsi:type="dcterms:W3CDTF">2023-12-08T11:38:00Z</dcterms:modified>
</cp:coreProperties>
</file>