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78C" w:rsidRPr="007230AB" w:rsidRDefault="000664CA" w:rsidP="000664CA">
      <w:pPr>
        <w:jc w:val="center"/>
        <w:rPr>
          <w:rFonts w:ascii="Times New Roman" w:hAnsi="Times New Roman" w:cs="Times New Roman"/>
          <w:b/>
          <w:lang w:val="kk-KZ"/>
        </w:rPr>
      </w:pPr>
      <w:r w:rsidRPr="007230AB">
        <w:rPr>
          <w:rFonts w:ascii="Times New Roman" w:hAnsi="Times New Roman" w:cs="Times New Roman"/>
          <w:b/>
          <w:lang w:val="kk-KZ"/>
        </w:rPr>
        <w:t>Список закупа способом запроса ценовых предложений</w:t>
      </w:r>
    </w:p>
    <w:p w:rsidR="000664CA" w:rsidRPr="00207291" w:rsidRDefault="000664CA">
      <w:pPr>
        <w:rPr>
          <w:lang w:val="kk-KZ"/>
        </w:rPr>
      </w:pPr>
    </w:p>
    <w:tbl>
      <w:tblPr>
        <w:tblStyle w:val="a8"/>
        <w:tblW w:w="1530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1626"/>
        <w:gridCol w:w="6945"/>
        <w:gridCol w:w="992"/>
        <w:gridCol w:w="993"/>
        <w:gridCol w:w="1559"/>
        <w:gridCol w:w="2126"/>
      </w:tblGrid>
      <w:tr w:rsidR="007230AB" w:rsidRPr="006B7D36" w:rsidTr="005F4F22">
        <w:trPr>
          <w:trHeight w:val="300"/>
          <w:jc w:val="center"/>
        </w:trPr>
        <w:tc>
          <w:tcPr>
            <w:tcW w:w="1063" w:type="dxa"/>
            <w:hideMark/>
          </w:tcPr>
          <w:p w:rsidR="007230AB" w:rsidRPr="006B7D36" w:rsidRDefault="007230AB" w:rsidP="007230AB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№ лота</w:t>
            </w:r>
          </w:p>
        </w:tc>
        <w:tc>
          <w:tcPr>
            <w:tcW w:w="1626" w:type="dxa"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Наименование</w:t>
            </w:r>
          </w:p>
        </w:tc>
        <w:tc>
          <w:tcPr>
            <w:tcW w:w="6945" w:type="dxa"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Техническая спецификация</w:t>
            </w:r>
          </w:p>
        </w:tc>
        <w:tc>
          <w:tcPr>
            <w:tcW w:w="992" w:type="dxa"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Ед.изм.</w:t>
            </w:r>
          </w:p>
        </w:tc>
        <w:tc>
          <w:tcPr>
            <w:tcW w:w="993" w:type="dxa"/>
            <w:noWrap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559" w:type="dxa"/>
            <w:noWrap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2126" w:type="dxa"/>
            <w:noWrap/>
            <w:hideMark/>
          </w:tcPr>
          <w:p w:rsidR="007230AB" w:rsidRPr="006B7D36" w:rsidRDefault="007230AB" w:rsidP="007230AB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7D36">
              <w:rPr>
                <w:color w:val="000000"/>
                <w:sz w:val="20"/>
                <w:szCs w:val="20"/>
                <w:lang w:val="kk-KZ"/>
              </w:rPr>
              <w:t>Сумма</w:t>
            </w:r>
          </w:p>
        </w:tc>
      </w:tr>
      <w:tr w:rsidR="00FC1791" w:rsidRPr="006B7D36" w:rsidTr="005F4F22">
        <w:trPr>
          <w:trHeight w:val="300"/>
          <w:jc w:val="center"/>
        </w:trPr>
        <w:tc>
          <w:tcPr>
            <w:tcW w:w="1063" w:type="dxa"/>
          </w:tcPr>
          <w:p w:rsidR="00FC1791" w:rsidRPr="006B7D36" w:rsidRDefault="00FC1791" w:rsidP="00FC1791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626" w:type="dxa"/>
          </w:tcPr>
          <w:p w:rsidR="00FC1791" w:rsidRPr="002A4524" w:rsidRDefault="00FC1791" w:rsidP="00FC1791">
            <w:pPr>
              <w:rPr>
                <w:sz w:val="20"/>
                <w:szCs w:val="20"/>
                <w:lang w:val="ru-RU"/>
              </w:rPr>
            </w:pPr>
            <w:r w:rsidRPr="002A4524">
              <w:rPr>
                <w:bCs/>
                <w:sz w:val="20"/>
                <w:szCs w:val="20"/>
                <w:lang w:val="kk-KZ"/>
              </w:rPr>
              <w:t>Система ультразвуковая диагностическая Affiniti 30  с принадлежностями, производства  Philips Ultrasound Inc., США</w:t>
            </w:r>
          </w:p>
        </w:tc>
        <w:tc>
          <w:tcPr>
            <w:tcW w:w="6945" w:type="dxa"/>
          </w:tcPr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Опции лицензии TDI, анатомический M-режим и HighQ Performance.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Новый интерфейс планшетного типа.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Большой дисплей высокого разрешения со светодиодной подсветкой и диагональю экрана 21,5 дюйма.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Неограниченные возможности регулировки положения панели управления с монитором с функцией наклона/поворота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Практически бесшумная работа (37–41 дБ).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4 порта для датчиков.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Встроенная подставка для ног и встроенные полки и ящик для хранения.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Поворот на 4 колесах с возможностью блокировки поворота/тормоза.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До 4 718 592 цифровых каналов.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Динамический диапазон системы 280 дБ, для большей эффективности в режиме 2D.</w:t>
            </w:r>
            <w:bookmarkStart w:id="0" w:name="_GoBack"/>
            <w:bookmarkEnd w:id="0"/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Многоядерная архитектура системы обработки способна совершать 225 x 109 40-бит. операций умножения с накоплением в секунду. Включает жесткий диск объемом 512 Гб, операционная система Windows Embedded Standard 7.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Технология составного изображения в реальном времени SonoCT следующего поколения с возможностью широко-экранного обзора, до 9 линий обзора с изменяющимся углом пучка.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Технология адаптивной обработки изображения XRES следующего поколения для подавления шумов/артефактов.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Полностью независимое управление в триплексном режиме.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Интегрированная функция беспроводной передачи данных DICOM с защитой WPA2.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Усовершенствованный компактный разъем, бесштыревая конструкция для исключительной надежности и производительности.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Эргономичная конструкция с легкими гибкими кабелями.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Новая технология с низкой потерей сигнала для лучшего проникновения с меньшим количеством артефактов.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Принципиально новые частотные диапазоны и конфигурации датчиков.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Поддерживается использование 10 датчиков, включая секторные, линейные, конвексные, с малым радиусом кривизны и механические объемные.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Интеллектуальное ПО Tissue Specific Imaging, функция Quicktext для автоматического ввода комментариев, настраиваемые пользователем программы QuickSAVE (до 45 на датчик).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Управление данными «как на встроенной рабочей станции» с возможностью просмотра миниатюр и сохранения изображений, циклов и отчетов.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Ретроспективная и проспективная запись видеоклипов на внутренний диск или съемный носитель.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Возможность передачи объемных MPR-изображений (X, Y и Z) в большинство систем PACS.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Возможность экспорта исходных данных QLAB.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Энергетический доплер (CPA).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Тканевые гармоники и гармоническая визуализация с инверсией импульса.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2D, M-режим, ЦДК, импульсно-волновой доплер (PW), визуализация Chroma, визуализация с инверсией импульсов, режим кинопетли.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Масштабирование (запись) с высоким разрешением и масштабирование (чтение) с функциями панорамирования.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Инструменты измерения расстояния, глубины, площади и окружности.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Пакет клинических опций совместного использования: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исследований брюшной полости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исследования сосудов (включает TCD)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исследований малых органов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исследований костно-мышечной системы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для кардиологических исследований взрослых  и детей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акушерских исследований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- Клиническая опция для гинекологических исследований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Датчик L12-5 (линейный) высокого разрешения с расширенным рабочим частотным диапазоном от 5 до 12 МГц с коротким питчем, 256 элементами, для поверхностной визуализации с высоким разрешением.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Датчик C6-2, конвексный с расширенным рабочим частотным диапазоном 2–6 МГц, работает в следующих режимах: 2D, ЦДК, CPA, MFI, M-режим и импульсно-волновой доплер.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Датчик S4-2, секторный, с расширенным рабочим частотным диапазоном 2-4 МГц для кардиологических исследований взрослых и детей и транскраниальной доплерографии.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Встроенная опция записи DVD/CD для сохранения изображений в формате DICOM или экспорта в формате JPEG и .avi для PC-совместимости.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Видеопринтер медицинский черно-белый.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Кронштейн для черно-белого принтера.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Источник бесперебойного питания.</w:t>
            </w:r>
          </w:p>
          <w:p w:rsidR="00FC1791" w:rsidRPr="002A4524" w:rsidRDefault="00FC1791" w:rsidP="00FC1791">
            <w:pPr>
              <w:jc w:val="both"/>
              <w:rPr>
                <w:sz w:val="20"/>
                <w:szCs w:val="20"/>
                <w:lang w:val="ru-RU"/>
              </w:rPr>
            </w:pPr>
            <w:r w:rsidRPr="002A4524">
              <w:rPr>
                <w:sz w:val="20"/>
                <w:szCs w:val="20"/>
                <w:lang w:val="ru-RU"/>
              </w:rPr>
              <w:t>Бумага для видеопринтера.</w:t>
            </w:r>
          </w:p>
        </w:tc>
        <w:tc>
          <w:tcPr>
            <w:tcW w:w="992" w:type="dxa"/>
          </w:tcPr>
          <w:p w:rsidR="00FC1791" w:rsidRPr="006B7D36" w:rsidRDefault="00FC1791" w:rsidP="00FC1791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Комплект</w:t>
            </w:r>
          </w:p>
        </w:tc>
        <w:tc>
          <w:tcPr>
            <w:tcW w:w="993" w:type="dxa"/>
            <w:noWrap/>
          </w:tcPr>
          <w:p w:rsidR="00FC1791" w:rsidRPr="006B7D36" w:rsidRDefault="00FC1791" w:rsidP="00FC1791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noWrap/>
          </w:tcPr>
          <w:p w:rsidR="00FC1791" w:rsidRPr="006B7D36" w:rsidRDefault="00FC1791" w:rsidP="00FC1791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noWrap/>
          </w:tcPr>
          <w:p w:rsidR="00FC1791" w:rsidRPr="006B7D36" w:rsidRDefault="00FC1791" w:rsidP="00FC1791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0664CA" w:rsidRPr="00207291" w:rsidRDefault="000664CA">
      <w:pPr>
        <w:rPr>
          <w:lang w:val="kk-KZ"/>
        </w:rPr>
      </w:pPr>
    </w:p>
    <w:sectPr w:rsidR="000664CA" w:rsidRPr="00207291" w:rsidSect="005F4F22">
      <w:pgSz w:w="16838" w:h="11906" w:orient="landscape" w:code="9"/>
      <w:pgMar w:top="426" w:right="1134" w:bottom="851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230" w:rsidRDefault="001F2230" w:rsidP="00024FBE">
      <w:pPr>
        <w:spacing w:after="0" w:line="240" w:lineRule="auto"/>
      </w:pPr>
      <w:r>
        <w:separator/>
      </w:r>
    </w:p>
  </w:endnote>
  <w:endnote w:type="continuationSeparator" w:id="0">
    <w:p w:rsidR="001F2230" w:rsidRDefault="001F2230" w:rsidP="0002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230" w:rsidRDefault="001F2230" w:rsidP="00024FBE">
      <w:pPr>
        <w:spacing w:after="0" w:line="240" w:lineRule="auto"/>
      </w:pPr>
      <w:r>
        <w:separator/>
      </w:r>
    </w:p>
  </w:footnote>
  <w:footnote w:type="continuationSeparator" w:id="0">
    <w:p w:rsidR="001F2230" w:rsidRDefault="001F2230" w:rsidP="00024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E1333"/>
    <w:multiLevelType w:val="hybridMultilevel"/>
    <w:tmpl w:val="979C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BE"/>
    <w:rsid w:val="00024FBE"/>
    <w:rsid w:val="000664CA"/>
    <w:rsid w:val="000858BB"/>
    <w:rsid w:val="000E39A3"/>
    <w:rsid w:val="00184113"/>
    <w:rsid w:val="0018578C"/>
    <w:rsid w:val="001870BB"/>
    <w:rsid w:val="001F2230"/>
    <w:rsid w:val="001F64B5"/>
    <w:rsid w:val="00207291"/>
    <w:rsid w:val="005F4F22"/>
    <w:rsid w:val="006B7D36"/>
    <w:rsid w:val="007230AB"/>
    <w:rsid w:val="00925705"/>
    <w:rsid w:val="0098580A"/>
    <w:rsid w:val="00A16CAC"/>
    <w:rsid w:val="00A7337E"/>
    <w:rsid w:val="00B13FAB"/>
    <w:rsid w:val="00BA488A"/>
    <w:rsid w:val="00FC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4F673-E801-4998-A183-E61F15E1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4FBE"/>
  </w:style>
  <w:style w:type="paragraph" w:styleId="a5">
    <w:name w:val="footer"/>
    <w:basedOn w:val="a"/>
    <w:link w:val="a6"/>
    <w:uiPriority w:val="99"/>
    <w:unhideWhenUsed/>
    <w:rsid w:val="00024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4FBE"/>
  </w:style>
  <w:style w:type="paragraph" w:styleId="a7">
    <w:name w:val="List Paragraph"/>
    <w:basedOn w:val="a"/>
    <w:uiPriority w:val="34"/>
    <w:qFormat/>
    <w:rsid w:val="000664CA"/>
    <w:pPr>
      <w:ind w:left="720"/>
      <w:contextualSpacing/>
    </w:pPr>
  </w:style>
  <w:style w:type="table" w:styleId="a8">
    <w:name w:val="Table Grid"/>
    <w:basedOn w:val="a1"/>
    <w:uiPriority w:val="39"/>
    <w:rsid w:val="00723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160EB-0964-45AE-B7F5-B3309492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Кажнабиев Абдулла Абдулла</dc:creator>
  <cp:keywords/>
  <dc:description/>
  <cp:lastModifiedBy>Исабекова Мадина Тилеубековна</cp:lastModifiedBy>
  <cp:revision>15</cp:revision>
  <dcterms:created xsi:type="dcterms:W3CDTF">2026-03-30T09:05:00Z</dcterms:created>
  <dcterms:modified xsi:type="dcterms:W3CDTF">2026-06-05T09:45:00Z</dcterms:modified>
</cp:coreProperties>
</file>