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DD4191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15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BA4DB8">
        <w:rPr>
          <w:rFonts w:ascii="Times New Roman" w:hAnsi="Times New Roman"/>
          <w:b/>
          <w:sz w:val="24"/>
          <w:szCs w:val="24"/>
        </w:rPr>
        <w:t>реагентов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A547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5477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20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«27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="00A5477F">
        <w:rPr>
          <w:rFonts w:ascii="Times New Roman" w:hAnsi="Times New Roman"/>
          <w:b/>
          <w:sz w:val="24"/>
          <w:szCs w:val="24"/>
        </w:rPr>
        <w:t xml:space="preserve"> года до 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28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5477F">
        <w:rPr>
          <w:rFonts w:ascii="Times New Roman" w:hAnsi="Times New Roman"/>
          <w:b/>
          <w:sz w:val="24"/>
          <w:szCs w:val="24"/>
          <w:lang w:val="kk-KZ"/>
        </w:rPr>
        <w:t>февраля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7356F1">
        <w:rPr>
          <w:rFonts w:ascii="Times New Roman" w:hAnsi="Times New Roman"/>
          <w:b/>
          <w:sz w:val="24"/>
          <w:szCs w:val="24"/>
        </w:rPr>
        <w:t>время 11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(210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7356F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FE6666">
        <w:rPr>
          <w:rFonts w:ascii="Times New Roman" w:hAnsi="Times New Roman"/>
          <w:sz w:val="24"/>
          <w:szCs w:val="24"/>
          <w:lang w:val="kk-KZ"/>
        </w:rPr>
        <w:t xml:space="preserve"> А.Т.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9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 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</w:t>
      </w: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6E24F4" w:rsidRDefault="006E24F4" w:rsidP="006E24F4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6E24F4" w:rsidRDefault="006E24F4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706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783"/>
        <w:gridCol w:w="2835"/>
        <w:gridCol w:w="7513"/>
        <w:gridCol w:w="992"/>
        <w:gridCol w:w="709"/>
        <w:gridCol w:w="1418"/>
        <w:gridCol w:w="1456"/>
      </w:tblGrid>
      <w:tr w:rsidR="00A5477F" w:rsidRPr="00A5477F" w:rsidTr="00017996">
        <w:trPr>
          <w:trHeight w:val="1267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техспецификация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A5477F" w:rsidRPr="00A5477F" w:rsidTr="00017996">
        <w:trPr>
          <w:trHeight w:val="832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Диахим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-Набор для исследования кала  на гельминты (метод Като)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для исследования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екалий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по методу Като, для выявления яиц гельминтов  (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аскариды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,в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ласоглав,острицы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,) в лабораториях. Состав: реактив Като -1флакон;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плстинки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гидрофильного целлофана - размер 20чх40мм. 500штук. Число проб -500.  принцип  метода - яйца гельминтов обнаруживают в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толстол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мазке фекалий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росветленных глицерином и подкрашенных малахитовой зеленью. Хранение - при температуре от +18 до +25 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Контроль биохимический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Перемиум</w:t>
            </w:r>
            <w:proofErr w:type="gram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.у</w:t>
            </w:r>
            <w:proofErr w:type="gram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ровень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2,20фл по 5мл/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Asusera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Assayed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Chemistry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Control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Premium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Plus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Level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 предназначен для диагностики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in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vitro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для контроля качества диагностических анализов на биохимический анализатор.  Мульти сыворотка уровень 2, на основе человеческой крови. Фасовка не менее 20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по 5 мл каждый флакон. Сыворотка должна иметь паспорт на определенную марку биохимического анализатора, который представлен у заказчика. 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порошок. Оцененные целевые значения приведены не менее чем для 70 параметров. Типичные значения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осмоляльности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должно быть: уровень 2 составляет 300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мОсм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/ кг, Восстановленная стабильность не менее чем: до 7 дней при 2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 ° С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 - 8 ° С или 4 недели при -20 ° 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234 700,00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234 700,00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Контроль биохимический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Перемиум</w:t>
            </w:r>
            <w:proofErr w:type="gram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.у</w:t>
            </w:r>
            <w:proofErr w:type="gram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ровень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3, 20фл по 5мл/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Asusera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Assayed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Chemistry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Control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Premium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Plus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Level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3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 предназначен для диагностики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in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vitro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для контроля качества диагностических анализов на биохимический анализатор.  Мульти сыворотка уровень 3, на основе человеческой крови. Фасовка не менее 20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по 5 мл каждый флакон. Сыворотка должна иметь паспорт на определенную марку биохимического анализатора, который представлен у заказчика. 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порошок. Оцененные целевые значения приведены не менее чем для 70 параметров. Типичные значения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осмоляльности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должно быть: уровень 3 составляет 370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мОсм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/ кг. Восстановленная стабильность не менее чем: до 7 дней при 2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 ° С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 - 8 ° С или 4 недели при -20 ° 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235 800,00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235 800,00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коагулограмма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(17 параметров)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НАБОР КОНТРОЛЯ ДЛЯ ВНЕШНЕГО КОНТРОЛЯ КАЧЕСТВА (БАЗОВАЯ ПРОГРАММА 4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1)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В набор базовых программ должно входить: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биохимические исследование на 12 месяцев, с отчетностью каждый месяц. Общий комплект поставки 13 флаконов не менее 5 мл в каждом. Образцы контрольной сыворотки должны быть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лиофилизированные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 упакованы вакуумом. Количество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тестирования для клинической химии должна быть не менее 52.                              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Гематологические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исследование на 12 месяцев с отчетностью каждый месяц. Общий комплект поставки 12 флаконов не менее 2 мл в каждом. Образцы контрольной сыворотки должны быть жидкими и готовыми к использованию. Количество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тестирования для гематологического исследования должно быть не менее 11 Параметры. Иммунологические исследования на 12 месяцев с отчетностью каждый месяц. Общий комплект поставки 12 флаконов не менее 5 мл в каждом. Образцы контрольной сыворотки должны быть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лиофилизированные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 упакованы вакуумом. Количество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тестирования для иммунологических исследований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 xml:space="preserve">должен быть не менее 55 параметры. Для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коагулометрических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исследований на 12 месяцев с отчетностью каждый месяц. Общий комплект поставки 12 флаконов не менее 1 мл каждый. Образцы контрольной сыворотки должны быть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лиофилизированные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 упакованы вакуумом. Количество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тестирования для гемостаза должен быть не менее 17 параметры.   Отчет по каждому образцу должен включать: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Шухарта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Леви-Дженнингса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контрольной оценки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образцу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Регистрация лаборатории и отправка результатов должна быть через интернет-сайт. Обеспечить конфиденциальность информации по статистической обработке результатов контроля качества. Система контроля качества должна быть аккредитована по ISO / IEC 17043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Контроль внешний. Программа Газы крови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КОНТРОЛЯ ДЛЯ ГАЗОВ КРОВИ RIQAS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1. Набор контрольной плазмы для исследований газов крови на 12 месяцев (12 флаконов).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2. Объем контрольной плазмы во флаконе не более 1.8 мл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3. Измерение образцов 1 раз в месяц и предоставление статистических отчетов по каждому образцу.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4. Каждый флакон с контрольной плазмой должен быть промаркирован номером в соответствии с номера тестирования образца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согласно графика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измерений.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5. Предоставление отчета по результатам измерение не позднее 48 часов после финальной даты измерения.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6. Возможность тестирования до пяти анализаторов одновременно без дополнительной оплаты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7. Количество параметров тестирования должна быть не менее 10 (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Ca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++,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Glucose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Lactate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pCO2, pO2,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Cl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-, K+,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Na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+,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Ph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tCO2)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8. Возможность представления значений в единицах измерения, используемых лаборатория, без пересчета.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Шухарта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Леви-Дженнингса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контрольной оценки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образцу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статистический раздел по всем методам, тестируют каждый параметр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11. Обеспечить конфиденциальность информации по статистической обработке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результатов контроля качества за использования пароля доступа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12. Система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конролю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качества должна быть аккредитована по ISO / IEC 17043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13. Старт первой пробы в январе 2020 года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249 800,00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249 800,00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Контроль внешний. Программа </w:t>
            </w:r>
            <w:proofErr w:type="spellStart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>Гликированный</w:t>
            </w:r>
            <w:proofErr w:type="spellEnd"/>
            <w:r w:rsidRPr="00A5477F">
              <w:rPr>
                <w:rFonts w:ascii="Times New Roman" w:eastAsia="BatangChe" w:hAnsi="Times New Roman"/>
                <w:sz w:val="20"/>
                <w:szCs w:val="20"/>
              </w:rPr>
              <w:t xml:space="preserve"> гемоглобин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НАБОР КОНТРОЛЯ ДЛЯ ГЛИКИРОВАННОГО ГЕМОГЛОБИНА (HbA1c)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1. Набор контрольных сывороток для внешнего оценка качества исследований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гликированного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гемоглобина 12 месяцев (12 флаконов).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2. Объем контрольной сыворотки не менее 0.5 мл во флаконе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3. Образцы контрольной сыворотки должны быть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лиофилизированные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4. Измерение образцов 1 раз в месяц и предоставления статистических отчетов по каждому образцу.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5. Каждый флакон с контрольной сывороткой должен быть промаркирован номером в соответствии с номера тестирования образца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согласно графика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измерений.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6. Предоставление отчета по результатам измерение не позднее 48 часов после финальной даты измерения.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7. Возможность тестирования нескольких анализаторов одновременно без дополнительной оплаты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8. Количество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тестирования должна быть не менее 2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Шухарта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Леви-Дженнингса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контрольной оценки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образцу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12. Система контроля качества должна быть аккредитована по ISO / IEC 17043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13. Контрольные материалы должны иметь все разрешительные документы, которые требует законодательство Республики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Казазхстан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Контроль внешний. Программа по серологии (ВИЧ+ Гепатиты)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НАБОР КОНТРОЛЕЙ СЕРОЛОГИЧЕСКИХ RIQAS  (ВИЧ+ГЕПАТИТ)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1. Набор контрольной крови для серологических исследований на ВИЧ и Гепатит на 12 месяцев (4 флакона).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2. Объем контрольной крови не более 1.8 мл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3. Измерение образцов каждые квартал и предоставления статистических отчетов по каждому образцу.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4. Каждый флакон с контрольной кровью должен быть промаркирован номером в соответствии с номера тестирования образца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согласно графика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измерений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5. Предоставление отчета по результатам измерение не позднее 48 часов после финальной даты измерения.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6. Возможность тестирования до пяти анализаторов одновременно без дополнительной оплаты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7. Количество параметров тестирования должна быть не более 10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lastRenderedPageBreak/>
              <w:t>8. Возможность представления значений в единицах измерения, используемых лаборатория, без пересчета.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Шухарта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Леви-Дженнингса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контрольной оценки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образцу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статистический раздел по всем методам, тестируют каждый параметр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 за использования пароля доступа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12. Система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конролю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качества должна быть аккредитована по ISO / IEC 17043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13. Контрольные материалы должны иметь все разрешительные документы, которые требует законодательство Республики Казахстан.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278 450,00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278 450,00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Контроль внешний. Программа по ПЦР количественное определение вируса гепатита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77F" w:rsidRPr="00A5477F" w:rsidRDefault="00A5477F" w:rsidP="00A54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Контроль внешний. Программа по ПЦР количественное определение</w:t>
            </w:r>
            <w:r w:rsidRPr="00A5477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вируса гепатита В</w:t>
            </w: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QCMD,QAV 994110 </w:t>
            </w:r>
            <w:proofErr w:type="spellStart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Hepatitis</w:t>
            </w:r>
            <w:proofErr w:type="spellEnd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B </w:t>
            </w:r>
            <w:proofErr w:type="spellStart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virus</w:t>
            </w:r>
            <w:proofErr w:type="spellEnd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2Challenges ).Контроль качества для молекулярной диагностики (QCMD) является независимой организацией по международной внешней оценке качества (EQA). Исследование Вирус гепатита</w:t>
            </w:r>
            <w:proofErr w:type="gramStart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(ВГБ) и различные генотипы ВГБ с использованием молекулярных методов.</w:t>
            </w: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Результаты лабораторных испытаний сообщаются в QCMD онлайн. </w:t>
            </w:r>
            <w:proofErr w:type="gramStart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Предоставляется индивидуальный отчет</w:t>
            </w:r>
            <w:proofErr w:type="gramEnd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в котором содержатся подробные сведения об общей эффективности всех участников EQA и результатах по сравнению с другими лабораториями в их оценочной группе. Программы должны быть аккредитованы по ISO17043: 2010. Общее количество испытаний не менее 2. Общее количество Панелей не менее 4. Период тестирования должен быть Q1 и Q3. Материал – плазма. Основная единица – МЕ\мл. Объем образца – не менее 1.2 мл. Тип анализа – качественный и количественный. Форма – замороженная жидкость.                                                                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Контроль внешний. Программа по ПЦР количественное определение вируса гепатита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 качества для молекулярной диагностики (QCMD) является независимой организацией по международной внешней оценке качества (EQA). Предназначен для оценки способности определять и количественно определять РНК </w:t>
            </w:r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вируса гепатита</w:t>
            </w:r>
            <w:proofErr w:type="gramStart"/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С</w:t>
            </w:r>
            <w:proofErr w:type="gramEnd"/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(ВГС) и различные генотипы ВГС с использованием молекулярных методов.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Результаты лабораторных испытаний сообщаются в QCMD онлайн.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Предоставляется индивидуальный отчет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, в котором содержатся подробные сведения об общей эффективности всех участников EQA и результатах по сравнению с другими лабораториями в их оценочной группе. Программы должны быть аккредитованы по ISO17043: 2010. Общее количество испытаний не менее 2. Общее количество Панелей не менее 4. Период тестирования должен быть Q1 и Q3. Материал – плазма. Основная единица – МЕ\мл. Объем образца – не менее 1.2 мл. Тип анализа – качественный и количественный. Форма – замороженная жидкость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Контроль внешний. Программа Общий анализ мочи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КОНТРОЛЯ ДЛЯ МОЧЕВОГО ИССЛЕДОВАНИЯ RIQAS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1. Набор контрольных сывороток для исследований мочи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полосочным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методом на 12 месяцев (6 флаконов).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2. Объем контрольной сыворотки не менее 12 мл во флаконе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3. Образцы контрольной сыворотки должны быть жидкие готовые к использованию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4. Измерение образцов 1 раз в два месяца  и предоставления статистических отчетов по каждому образцу.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5. Каждый флакон с контрольной сывороткой должен быть промаркирован номером в соответствии с номера тестирования образца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согласно графика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измерений.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6. Предоставление отчета по результатам измерение не позднее 48 часов после финальной даты измерения.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7. Возможность тестирования нескольких анализаторов одновременно без дополнительной оплаты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8. Количество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тестирования должна быть не менее 14 (Альбумин, Билирубин, Кровь,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креатинин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глюкоза, ХГЧ, Кетоны, Лейкоциты, нитрит,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pH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белка, Удельный вес,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уробилиноген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галактоза)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9. Отчет по каждому образцу должен включать: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график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Шухарта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Леви-Дженнингса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контрольной оценки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образцу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- график отклонения% по концентрации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аналит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10. Регистрация лаборатории и отправка результатов должна быть через интернет-сайт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11. Обеспечить конфиденциальность информации по статистической обработке результатов контроля качества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br/>
              <w:t>12. Система контроля качества должна быть аккредитована по ISO / IEC 17043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комп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391 537,00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391 537,00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normal</w:t>
            </w:r>
            <w:proofErr w:type="spellEnd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Контрольный раствор нормальной концентрации к системе для измерения уровня глюкозы крови, Контур Плю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самостоятельнои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измеренииуровня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глюкозы в крови. Химический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состав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:г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>люкоза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0,07% вес/объем, неактивные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ингридиенты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99,93%  вес/объем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82 500,00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высокой концентрации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Контрольный раствор высокой концентрации к системе для измерения уровня глюкозы крови, Контур Плю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самостоятельнои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измеренииуровня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глюкозы в крови. Химический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состав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:г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>люкоза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0,18%вес/объем, неактивные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ингридиенты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99,82%  вес/объем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82 500,00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lastRenderedPageBreak/>
              <w:t>Plus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низкой концентрации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lastRenderedPageBreak/>
              <w:t>Контрольный раствор низкой концентрации к системе для измерения уровня глюкозы крови, Контур Плю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это водный растворы глюкозы предназначенный для </w:t>
            </w:r>
            <w:r w:rsidRPr="00A5477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проверки  качества полученных результатов при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самостоятельнои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измеренииуровня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глюкозы в крови. Химический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состав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:г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>люкоза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0,03 %вес/объем, неактивные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ингридиенты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99,97 %  вес/объем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82 500,00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Проточная жидкость BD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FacsFlow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Sheath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Fluid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, 20 L  2-30С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Готовый раствор к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использованиюсбалансированный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раствор для обслуживания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проточных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цитометров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BD FACS . Обеспечивает минимальный фоновый сигнал и оптимальное флуоресцентное разделение. Поставляется в пластиковых контейнерах объемом 20 литров.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30 523,00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30 523,00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Раствор гидрохлорида натрия 4%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Назначение: очищающий раствор для промывки иглы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мочегово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анализатора c6500. Реагенты - рабочие растворы: гидрохлорид натрия 4%. Хранение при 15 - 25  °C до окончания срока годности.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РФМК-тест о-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фенантролиновым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методом 400опр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Набор реагентов для определения растворимых фибрин-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мономерных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комплексов (РФМК) в плазме крови человека о-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фенантролиновым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методом (РФМК-тест)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.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Предназначен для качественной и количественной оценки содержания РФМК в плазме крови методом их осаждения под действием о-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фенантролина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 Принцип метода: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Тест основан на оценке времени появления в исследуемой плазме хлопьев фибрина после добавления в нее о-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фенантролина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 Скорость их образования зависит от концентрации РФМК.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Состав набора: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•    О-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фенантролин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(100 мг/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.) – 4 флакона;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•    Положительный контроль (1 мл/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.) – 1 флакон;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•    Отрицательный контроль (1 мл/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.) – 1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флакон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.О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дин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набор предназначен для проведения 400 определений РФМК при расходе 0,1 мл раствора о-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фенантролина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на 1 анализ."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9 700,00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9 700,00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Экспрес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с-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 "ВИЧ 1/2"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Однотипный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иммунохроматографический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экспресс тест 1/2 3,0 для качественного определения антител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IgG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IgA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IgM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к вирусу иммунодефицита человека ВИЧ-1 и ВИЧ- 2, включая подтип -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О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одновременно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по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сыворотке, плазме или цельной крови человека. В упаковке №30. Состав: рекомбинантные антигены, представляющие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иммунодоминантные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области белков ВИЧ-1 и ВИЧ-2. Захваченные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анитегены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gp41 и p24 ВИЧ-1 фиксируется на первый тестовой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линиии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захваченный антиген gp36 для ВИЧ -2  фиксируется на второй линии тестовой зоны мембраны. Те же самые антигены связаны с красителем и расположены в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коньюгатной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подушечке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стрипа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 Маленькая область на мембране приготовлена к антителам к  ВИЧ для образования контрольной линии (С)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огда образец проходит через абсорбирующую подушечку антитела к ВИЧ-1или  ВИЧ-2, специфичные к рекомбинантным антигенам, связываются с антиген-окрашенным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коньюгатам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в результате чего образуется иммунные комплексы. Которые в  свою очередь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связыаются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  соответствующими захваченными антигенами, образуя 1 и /или 2 тестовые линии. Не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связавшийся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коньюгат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вызывает реакцию на контрольной линии (С) для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потверждения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правильного проведения тестирования. Линии 1,2  а также контрольная линия (С) не видимы до проведения теста.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котрольная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лини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я(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С) должна появляться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всегда,в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этом случае тест проведен правильно. Тестовой набор содержит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: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тест кассета в индивидуальной блистре с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влагопоглотителем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(№30), разбавитель.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15 125,00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15 125,00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Редипластин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Hemosil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(реагент для определения ПВ.20 мл)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Из комплекта анализатор автоматический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для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vitro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диагностики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ACL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ELITE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/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ACL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ELITE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PRO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 принадлежностями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64 196,00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641 960,00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Тромбопласти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(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из головного мозга кролика) для определения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протомбинового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времени(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Ренапластин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Тромбопласти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(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из головного мозга кролика) для определения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протомбинового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времени(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Ренапластин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)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25 600,00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512 000,00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PH электрод для  ABL 800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p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для анализаторов серии ABL 800.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14 843,00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29 686,00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Standard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calibration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Densichek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PLUS из комплекта Анализатор автоматический микробиологический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Vitek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2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Compact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Набор калибровочных стандартов для денситометра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калибровочных стандартов для измерения мутности растворов для денситометра к анализатору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VITEK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2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compact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110 800,00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110 800,00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Азопирам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Набор реагентов для контроля качества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предстерилизационной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очистки. Набор предназначен для обнаружения остатков крови, следов  ржавчины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,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стирального порошка ,окислителей на изделиях медицинского назначения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5 600,00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134 400,00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Антитромбин жидкий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Реагент для определения гепарин-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кофакторной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активности антитромбина с использованием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Х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а фактора в качестве фермента-мишени. Используется для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преоперационного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скрининга, диагностики наследственного дефицита антитромбина у пациентов, склонных к тромбоэмболии. Используется для закрытой системы АС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L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ТОР 300,500,700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96 670,00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1 160 040,00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Бикарбонатный раствор для гемодиализа и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гемодиофильтации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10л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Бикарбонатный раствор для гемодиализа и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гемодиофильтации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10л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канистра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5 500,00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550 000,00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Высокий патологический контроль –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HemosIL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High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Abnormal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Control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Из комплекта анализатор автоматический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коагулометрический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для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vitro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диагностики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ACL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ELITE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/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ACL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ELITE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PRO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 принадлежностями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65 396,00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130 792,00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Железо хлористое (III) 6-вод.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Железо хлористое (III) 6-вод.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кг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A5477F" w:rsidRPr="00A5477F" w:rsidTr="00017996">
        <w:trPr>
          <w:trHeight w:val="524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Креатинкиназа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proofErr w:type="gramStart"/>
            <w:r w:rsidRPr="00A5477F">
              <w:rPr>
                <w:rFonts w:ascii="Times New Roman" w:hAnsi="Times New Roman"/>
                <w:sz w:val="20"/>
                <w:szCs w:val="20"/>
              </w:rPr>
              <w:t>В(</w:t>
            </w:r>
            <w:proofErr w:type="gram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СК-МВ) Стандарт 1мл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Креатинкиназа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В(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СК-МВ) Стандарт 1мл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4 500,00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9 000,00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Калибровочный раствор для 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tHb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ABL 800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Применяется для автоматической калибровки системы анализатора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ABL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700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/800 по гемоглобину. 1 упак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=4 ампулы по 2мл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70 345,00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211 035,00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Лимонная кислота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химический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10л.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Лимонная кислота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химический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10л.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36 000,00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Мембрана для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референтного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электрода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Упаковка содержит 4 капсулы мембран из текстильного материала в электролитном растворе, содержащем буфер, неорганические соли. Применяется для работы анализаторов ABL700/800. Для диагностики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in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vitro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99 435,00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397 740,00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Мителеновый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Синий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Гистопоинт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1%-водный 0,5 л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Мителеновый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Синий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Гистопоинт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1%-водный 0,5 л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21 780,00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174 240,00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Набор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реаг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.д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ля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колич.опред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-я D-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Dimmer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60картриджи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Набор реагентов для количественного определения D-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Dimer</w:t>
            </w:r>
            <w:proofErr w:type="spellEnd"/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Используется только при работе на анализаторе «Малогабаритный иммунохимический анализатор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Pathfast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»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Концентрация Д-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Димера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– это показатель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фибринолитической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активности плазмина в сосудистой системе. Д-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Димер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является высокоточным отрицательным диагностическим маркером острого тромбоза глубоких вен (ТГВ) и тромбоэмболии легочной артерии (ТЭЛА).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Концентрация Д-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Димера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 плазме повышается при клинических состояниях, включающих ТГВ, ТЭЛА            и диссеминированное внутрисосудистое свертывание крови (ДВС-синдром). Исключение диагноза острого тромбоза (ТГВ и/или ТЭЛА) возможно, когда концентрация Д-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Димера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ниже пограничного уровня. Измерение концентрации Д-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Дмире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также можно использовать в качестве вспомогательного теста для диагностики и мониторинга ДВС-синдрома.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Система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PATHFAST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за 15 минут помогает провести дифференциальную диагностику ИМ и тромбоэмболии легочной артерии.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Диапазон измерения 0,005-5нг/мл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фибрин-эквивалентных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единиц (ФЭЕ)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%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CV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 сыворотке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QC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L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=6,9%,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QC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M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=6,0%,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QC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-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H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=7,1%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Единица измерения – упаковка</w:t>
            </w:r>
          </w:p>
          <w:p w:rsidR="00A5477F" w:rsidRPr="00AF5A04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В наборе 60 картриджей.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245 000,00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490 000,00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VITEK 2 NH  из комплекта Анализатор автоматический микробиологический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VITEK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2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 xml:space="preserve">Пластиковые карты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NH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, состоящие из 64 ячеек заполненных различными видами биохимических субстратов, для идентификации бактерий рода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Neisseria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Haemophilius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на автоматическом микробиологическом анализаторе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VITEK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2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  <w:t>Compact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101 400,00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202 800,00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F5A04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Креатинкиназа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В(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СК-МВ) 3*15мл для А25 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BioSystems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Креатинкиназа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М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В(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СК-МВ) 3*15мл для А25 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BioSystems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44 800,00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44 800,00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Натрий хлористый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Натрий хлористый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1 680,00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Натрия цитрат 3-х замещенный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Натрия цитрат 3-х замещенный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4 315,00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2 157,50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Сыворотка контрольная положительная для диагностики сифилиса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Сыворотка контрольная положительная для диагностики сифилиса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     </w:t>
            </w:r>
            <w:proofErr w:type="spellStart"/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20 900,00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104 500,00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Сульфит натрия (Натрий сернокислый б/в ЧДА)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color w:val="000000"/>
                <w:sz w:val="20"/>
                <w:szCs w:val="20"/>
              </w:rPr>
              <w:t>Сульфит натрия (Натрий сернокислый б/в ЧДА)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4 315,00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2 157,50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Набор реагентов для определения растворимых фибрин-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мономерных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комплексов в плазме крови РФМК-тест, флаконный вариант на 200 определений 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Набор реагентов для определения растворимых фибрин-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мономерных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комплексов в плазме крови РФМК-тест, флаконный вариант на 200 определений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11 200,00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33 600,00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Фибриноген QFA-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Hemosil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ACL ElitePro10х2мл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Реагент для определения фибриногена по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Клауссу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в человеческой цитратной плазме. В состав реагента входит очищенный бычий тромбин в концентрации 100ЕД/мл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шт.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103 224,00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412 896,00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Формалин 40%-400,0 (осветленный)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Формалин 40%-400,0 (осветленный)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184 685,00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369 370,00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Хромогенная среда</w:t>
            </w:r>
            <w:r w:rsidRPr="00A547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b/>
                <w:bCs/>
                <w:sz w:val="20"/>
                <w:szCs w:val="20"/>
              </w:rPr>
              <w:t>CHROMagar</w:t>
            </w:r>
            <w:proofErr w:type="spellEnd"/>
            <w:r w:rsidRPr="00A547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b/>
                <w:bCs/>
                <w:sz w:val="20"/>
                <w:szCs w:val="20"/>
              </w:rPr>
              <w:t>Candida</w:t>
            </w:r>
            <w:proofErr w:type="spellEnd"/>
            <w:r w:rsidRPr="00A5477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для выделения и дифференциации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Candida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Spp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Основа на 5000 мл готовой среды из Набора сред для выделения, определения и подсчета патогенных микроорганизмов +15+30С 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Хромогенная среда</w:t>
            </w:r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CHROMagar</w:t>
            </w:r>
            <w:proofErr w:type="spellEnd"/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>Candida</w:t>
            </w:r>
            <w:proofErr w:type="spellEnd"/>
            <w:r w:rsidRPr="00A5477F">
              <w:rPr>
                <w:rFonts w:ascii="Times New Roman" w:eastAsia="Arial Unicode MS" w:hAnsi="Times New Roman"/>
                <w:b/>
                <w:bCs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для выделения и дифференциации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Candida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proofErr w:type="spell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Spp</w:t>
            </w:r>
            <w:proofErr w:type="spell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Основа на 5000 мл готовой среды из Набора сред для выделения, определения и подсчета патогенных микроорганизмов +15+30С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223 500,00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223 500,00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Эритроциты бараньи  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Эритроциты барана для постановки </w:t>
            </w:r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серологических</w:t>
            </w:r>
            <w:proofErr w:type="gramEnd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 xml:space="preserve"> реакции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</w:pPr>
            <w:r w:rsidRPr="00A5477F">
              <w:rPr>
                <w:rFonts w:ascii="Times New Roman" w:eastAsia="Arial Unicode MS" w:hAnsi="Times New Roman"/>
                <w:sz w:val="20"/>
                <w:szCs w:val="20"/>
                <w:lang w:val="kk-KZ"/>
              </w:rPr>
              <w:t>мл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1 700,00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510 000,00</w:t>
            </w:r>
          </w:p>
        </w:tc>
      </w:tr>
      <w:tr w:rsidR="00A5477F" w:rsidRPr="00A5477F" w:rsidTr="00017996">
        <w:trPr>
          <w:trHeight w:val="411"/>
          <w:jc w:val="center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Дилюент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Изотонический разбавитель 20л,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Драйпак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для автоматического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гемотологического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 xml:space="preserve"> анализатора </w:t>
            </w:r>
            <w:r w:rsidRPr="00A5477F">
              <w:rPr>
                <w:rFonts w:ascii="Times New Roman" w:hAnsi="Times New Roman"/>
                <w:sz w:val="20"/>
                <w:szCs w:val="20"/>
                <w:lang w:val="en-US"/>
              </w:rPr>
              <w:t>Micro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hAnsi="Times New Roman"/>
                <w:sz w:val="20"/>
                <w:szCs w:val="20"/>
                <w:lang w:val="en-US"/>
              </w:rPr>
              <w:t>cc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20 </w:t>
            </w:r>
            <w:r w:rsidRPr="00A5477F">
              <w:rPr>
                <w:rFonts w:ascii="Times New Roman" w:hAnsi="Times New Roman"/>
                <w:sz w:val="20"/>
                <w:szCs w:val="20"/>
                <w:lang w:val="en-US"/>
              </w:rPr>
              <w:t>plus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Буферный водный раствор с фиксированными параметрами рН, электропроводимости и </w:t>
            </w:r>
            <w:proofErr w:type="spellStart"/>
            <w:r w:rsidRPr="00A5477F">
              <w:rPr>
                <w:rFonts w:ascii="Times New Roman" w:hAnsi="Times New Roman"/>
                <w:sz w:val="20"/>
                <w:szCs w:val="20"/>
              </w:rPr>
              <w:t>осмолярности</w:t>
            </w:r>
            <w:proofErr w:type="spellEnd"/>
            <w:r w:rsidRPr="00A5477F">
              <w:rPr>
                <w:rFonts w:ascii="Times New Roman" w:hAnsi="Times New Roman"/>
                <w:sz w:val="20"/>
                <w:szCs w:val="20"/>
              </w:rPr>
              <w:t>. Бесцветная жидкость без запаха.</w:t>
            </w:r>
          </w:p>
          <w:p w:rsidR="00A5477F" w:rsidRPr="00A5477F" w:rsidRDefault="00A5477F" w:rsidP="00A5477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 xml:space="preserve">Содержание сульфата натрия </w:t>
            </w:r>
            <w:r w:rsidRPr="00A5477F">
              <w:rPr>
                <w:rFonts w:ascii="Times New Roman" w:eastAsia="Arial" w:hAnsi="Times New Roman"/>
                <w:sz w:val="20"/>
                <w:szCs w:val="20"/>
              </w:rPr>
              <w:t xml:space="preserve">&lt; 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2.0%; </w:t>
            </w:r>
            <w:r w:rsidRPr="00A5477F">
              <w:rPr>
                <w:rFonts w:ascii="Times New Roman" w:hAnsi="Times New Roman"/>
                <w:sz w:val="20"/>
                <w:szCs w:val="20"/>
              </w:rPr>
              <w:br/>
              <w:t xml:space="preserve">хлорида  натрия </w:t>
            </w:r>
            <w:r w:rsidRPr="00A5477F">
              <w:rPr>
                <w:rFonts w:ascii="Times New Roman" w:eastAsia="Arial" w:hAnsi="Times New Roman"/>
                <w:sz w:val="20"/>
                <w:szCs w:val="20"/>
              </w:rPr>
              <w:t xml:space="preserve">&lt; 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0.025%; лимонной кислоты </w:t>
            </w:r>
            <w:r w:rsidRPr="00A5477F">
              <w:rPr>
                <w:rFonts w:ascii="Times New Roman" w:eastAsia="Arial" w:hAnsi="Times New Roman"/>
                <w:sz w:val="20"/>
                <w:szCs w:val="20"/>
              </w:rPr>
              <w:t>&lt;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0.2; солей ЭДТА </w:t>
            </w:r>
            <w:r w:rsidRPr="00A5477F">
              <w:rPr>
                <w:rFonts w:ascii="Times New Roman" w:eastAsia="Arial" w:hAnsi="Times New Roman"/>
                <w:sz w:val="20"/>
                <w:szCs w:val="20"/>
              </w:rPr>
              <w:t>&lt;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0.1%; стабилизаторов </w:t>
            </w:r>
            <w:r w:rsidRPr="00A5477F">
              <w:rPr>
                <w:rFonts w:ascii="Times New Roman" w:eastAsia="Arial" w:hAnsi="Times New Roman"/>
                <w:sz w:val="20"/>
                <w:szCs w:val="20"/>
              </w:rPr>
              <w:t>&lt;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0.04%</w:t>
            </w:r>
          </w:p>
          <w:p w:rsidR="00A5477F" w:rsidRPr="00A5477F" w:rsidRDefault="00A5477F" w:rsidP="00A5477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Отметка на упаковке о дате изготовления, условия хранения указаны на этикетке.</w:t>
            </w:r>
          </w:p>
          <w:p w:rsidR="00A5477F" w:rsidRPr="00A5477F" w:rsidRDefault="00A5477F" w:rsidP="00A5477F">
            <w:pPr>
              <w:spacing w:after="0" w:line="240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Канистра из первичного полиэтилена 1 шт.</w:t>
            </w:r>
            <w:r w:rsidRPr="00A5477F">
              <w:rPr>
                <w:rFonts w:ascii="Times New Roman" w:hAnsi="Times New Roman"/>
                <w:sz w:val="20"/>
                <w:szCs w:val="20"/>
              </w:rPr>
              <w:br/>
            </w:r>
            <w:r w:rsidRPr="00A5477F">
              <w:rPr>
                <w:rFonts w:ascii="Times New Roman" w:hAnsi="Times New Roman"/>
                <w:b/>
                <w:sz w:val="20"/>
                <w:szCs w:val="20"/>
              </w:rPr>
              <w:t>Фасовка:</w:t>
            </w:r>
            <w:r w:rsidRPr="00A5477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477F">
              <w:rPr>
                <w:rFonts w:ascii="Times New Roman" w:hAnsi="Times New Roman"/>
                <w:sz w:val="20"/>
                <w:szCs w:val="20"/>
              </w:rPr>
              <w:br/>
              <w:t>Канистра -1*20л.</w:t>
            </w: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val="en-US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proofErr w:type="gramStart"/>
            <w:r w:rsidRPr="00A5477F">
              <w:rPr>
                <w:rFonts w:ascii="Times New Roman" w:eastAsia="Arial Unicode MS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31 955,00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sz w:val="20"/>
                <w:szCs w:val="20"/>
              </w:rPr>
              <w:t>511 280,00</w:t>
            </w:r>
          </w:p>
        </w:tc>
      </w:tr>
      <w:tr w:rsidR="00A5477F" w:rsidRPr="00A5477F" w:rsidTr="00017996">
        <w:trPr>
          <w:trHeight w:val="20"/>
          <w:jc w:val="center"/>
        </w:trPr>
        <w:tc>
          <w:tcPr>
            <w:tcW w:w="14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A5477F" w:rsidRPr="00A5477F" w:rsidRDefault="00A5477F" w:rsidP="00A5477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Итого сумма</w:t>
            </w:r>
          </w:p>
        </w:tc>
        <w:tc>
          <w:tcPr>
            <w:tcW w:w="14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77F" w:rsidRPr="00A5477F" w:rsidRDefault="00A5477F" w:rsidP="00A5477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547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11 </w:t>
            </w:r>
            <w:r w:rsidRPr="00A5477F">
              <w:rPr>
                <w:rFonts w:ascii="Times New Roman" w:hAnsi="Times New Roman"/>
                <w:b/>
                <w:sz w:val="20"/>
                <w:szCs w:val="20"/>
              </w:rPr>
              <w:t>393</w:t>
            </w:r>
            <w:r w:rsidRPr="00A547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 </w:t>
            </w:r>
            <w:r w:rsidRPr="00A5477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A5477F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69</w:t>
            </w:r>
            <w:r w:rsidRPr="00A5477F">
              <w:rPr>
                <w:rFonts w:ascii="Times New Roman" w:hAnsi="Times New Roman"/>
                <w:b/>
                <w:sz w:val="20"/>
                <w:szCs w:val="20"/>
              </w:rPr>
              <w:t>,00</w:t>
            </w:r>
          </w:p>
        </w:tc>
      </w:tr>
    </w:tbl>
    <w:p w:rsidR="007356F1" w:rsidRPr="000C2E74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                       </w:t>
      </w:r>
      <w:r w:rsidR="000C2E74"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p w:rsidR="00554452" w:rsidRPr="00BA4DB8" w:rsidRDefault="007356F1">
      <w:pPr>
        <w:rPr>
          <w:rFonts w:ascii="Times New Roman" w:hAnsi="Times New Roman"/>
          <w:b/>
          <w:sz w:val="20"/>
          <w:szCs w:val="18"/>
          <w:lang w:val="kk-KZ"/>
        </w:rPr>
      </w:pPr>
      <w:r w:rsidRPr="00E579E8">
        <w:rPr>
          <w:rFonts w:ascii="Times New Roman" w:hAnsi="Times New Roman"/>
          <w:b/>
          <w:sz w:val="20"/>
          <w:szCs w:val="18"/>
          <w:lang w:val="kk-KZ"/>
        </w:rPr>
        <w:t xml:space="preserve">                                   Руководитель ОГЗ                                                                                      Ра</w:t>
      </w:r>
      <w:r w:rsidR="00BA4DB8">
        <w:rPr>
          <w:rFonts w:ascii="Times New Roman" w:hAnsi="Times New Roman"/>
          <w:b/>
          <w:sz w:val="20"/>
          <w:szCs w:val="18"/>
          <w:lang w:val="kk-KZ"/>
        </w:rPr>
        <w:t xml:space="preserve">химова Л.З.                     </w:t>
      </w:r>
    </w:p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735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E74" w:rsidRDefault="000C2E74" w:rsidP="004C5CD1">
      <w:pPr>
        <w:spacing w:after="0" w:line="240" w:lineRule="auto"/>
      </w:pPr>
      <w:r>
        <w:separator/>
      </w:r>
    </w:p>
  </w:endnote>
  <w:endnote w:type="continuationSeparator" w:id="0">
    <w:p w:rsidR="000C2E74" w:rsidRDefault="000C2E7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E74" w:rsidRDefault="000C2E74" w:rsidP="004C5CD1">
      <w:pPr>
        <w:spacing w:after="0" w:line="240" w:lineRule="auto"/>
      </w:pPr>
      <w:r>
        <w:separator/>
      </w:r>
    </w:p>
  </w:footnote>
  <w:footnote w:type="continuationSeparator" w:id="0">
    <w:p w:rsidR="000C2E74" w:rsidRDefault="000C2E7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C2E74"/>
    <w:rsid w:val="000E40EE"/>
    <w:rsid w:val="00141640"/>
    <w:rsid w:val="0014328D"/>
    <w:rsid w:val="002645AF"/>
    <w:rsid w:val="002975E9"/>
    <w:rsid w:val="00393C33"/>
    <w:rsid w:val="003A0DD7"/>
    <w:rsid w:val="00434E3E"/>
    <w:rsid w:val="004C5CD1"/>
    <w:rsid w:val="00523A10"/>
    <w:rsid w:val="005269D6"/>
    <w:rsid w:val="00554452"/>
    <w:rsid w:val="005C424E"/>
    <w:rsid w:val="005C7A8E"/>
    <w:rsid w:val="006C4A38"/>
    <w:rsid w:val="006E24F4"/>
    <w:rsid w:val="006F3FAC"/>
    <w:rsid w:val="00706DE0"/>
    <w:rsid w:val="0073484F"/>
    <w:rsid w:val="007356F1"/>
    <w:rsid w:val="00767784"/>
    <w:rsid w:val="007D5112"/>
    <w:rsid w:val="008612E5"/>
    <w:rsid w:val="0090063B"/>
    <w:rsid w:val="009974C8"/>
    <w:rsid w:val="009B162D"/>
    <w:rsid w:val="009C0F7E"/>
    <w:rsid w:val="009C1E98"/>
    <w:rsid w:val="009E31F8"/>
    <w:rsid w:val="00A00B18"/>
    <w:rsid w:val="00A5290A"/>
    <w:rsid w:val="00A5477F"/>
    <w:rsid w:val="00A86DD6"/>
    <w:rsid w:val="00AC4210"/>
    <w:rsid w:val="00AF5A04"/>
    <w:rsid w:val="00B17A13"/>
    <w:rsid w:val="00B67B9A"/>
    <w:rsid w:val="00B872C0"/>
    <w:rsid w:val="00B9474D"/>
    <w:rsid w:val="00BA4DB8"/>
    <w:rsid w:val="00BC744D"/>
    <w:rsid w:val="00BE4BD9"/>
    <w:rsid w:val="00C02A47"/>
    <w:rsid w:val="00C052D4"/>
    <w:rsid w:val="00C07B7A"/>
    <w:rsid w:val="00C91D54"/>
    <w:rsid w:val="00CB65B6"/>
    <w:rsid w:val="00CC2F9A"/>
    <w:rsid w:val="00DA1117"/>
    <w:rsid w:val="00DD4191"/>
    <w:rsid w:val="00E03010"/>
    <w:rsid w:val="00E258F6"/>
    <w:rsid w:val="00E579E8"/>
    <w:rsid w:val="00EC4999"/>
    <w:rsid w:val="00F2263B"/>
    <w:rsid w:val="00F52B93"/>
    <w:rsid w:val="00F90A35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nline.zakon.kz/Document/?link_id=10044012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11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2020-01-14T03:18:00Z</cp:lastPrinted>
  <dcterms:created xsi:type="dcterms:W3CDTF">2019-09-03T06:24:00Z</dcterms:created>
  <dcterms:modified xsi:type="dcterms:W3CDTF">2020-02-20T05:16:00Z</dcterms:modified>
</cp:coreProperties>
</file>