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B2137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8C4749">
        <w:rPr>
          <w:rFonts w:ascii="Times New Roman" w:hAnsi="Times New Roman"/>
          <w:b/>
          <w:sz w:val="24"/>
          <w:szCs w:val="24"/>
          <w:lang w:val="kk-KZ"/>
        </w:rPr>
        <w:t>3</w:t>
      </w:r>
      <w:r w:rsidR="008C4749" w:rsidRPr="00B2137E">
        <w:rPr>
          <w:rFonts w:ascii="Times New Roman" w:hAnsi="Times New Roman"/>
          <w:b/>
          <w:sz w:val="24"/>
          <w:szCs w:val="24"/>
        </w:rPr>
        <w:t>1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72A8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17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E28B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372A86">
        <w:rPr>
          <w:rFonts w:ascii="Times New Roman" w:hAnsi="Times New Roman"/>
          <w:b/>
          <w:sz w:val="24"/>
          <w:szCs w:val="24"/>
          <w:lang w:val="kk-KZ"/>
        </w:rPr>
        <w:t>17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372A86">
        <w:rPr>
          <w:rFonts w:ascii="Times New Roman" w:hAnsi="Times New Roman"/>
          <w:b/>
          <w:sz w:val="24"/>
          <w:szCs w:val="24"/>
          <w:lang w:val="kk-KZ"/>
        </w:rPr>
        <w:t>23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372A86">
        <w:rPr>
          <w:rFonts w:ascii="Times New Roman" w:hAnsi="Times New Roman"/>
          <w:b/>
          <w:sz w:val="24"/>
          <w:szCs w:val="24"/>
          <w:lang w:val="kk-KZ"/>
        </w:rPr>
        <w:t>23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апреля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7356F1">
        <w:rPr>
          <w:rFonts w:ascii="Times New Roman" w:hAnsi="Times New Roman"/>
          <w:b/>
          <w:sz w:val="24"/>
          <w:szCs w:val="24"/>
        </w:rPr>
        <w:t>время 1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9B162D" w:rsidRDefault="009B162D" w:rsidP="007356F1">
      <w:pPr>
        <w:rPr>
          <w:rFonts w:ascii="Times New Roman" w:hAnsi="Times New Roman"/>
          <w:b/>
          <w:sz w:val="18"/>
          <w:szCs w:val="18"/>
          <w:lang w:val="kk-KZ"/>
        </w:rPr>
      </w:pPr>
      <w:r w:rsidRPr="009B162D">
        <w:rPr>
          <w:rFonts w:ascii="Times New Roman" w:hAnsi="Times New Roman"/>
          <w:b/>
          <w:sz w:val="18"/>
          <w:szCs w:val="18"/>
          <w:lang w:val="kk-KZ"/>
        </w:rPr>
        <w:t xml:space="preserve">  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618"/>
        <w:gridCol w:w="6871"/>
        <w:gridCol w:w="715"/>
        <w:gridCol w:w="986"/>
        <w:gridCol w:w="1309"/>
        <w:gridCol w:w="1418"/>
      </w:tblGrid>
      <w:tr w:rsidR="00A41E9F" w:rsidRPr="00AA4B83" w:rsidTr="00A41E9F">
        <w:trPr>
          <w:trHeight w:val="13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41E9F" w:rsidRPr="00AA4B83" w:rsidRDefault="00A41E9F" w:rsidP="00A41E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Приложение №1</w:t>
            </w:r>
          </w:p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1E9F" w:rsidRPr="00AA4B83" w:rsidTr="00A41E9F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E28B9" w:rsidRPr="00AA4B83" w:rsidTr="000E28B9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8B9" w:rsidRPr="00AA4B83" w:rsidRDefault="000E28B9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rPr>
                <w:rFonts w:ascii="Times New Roman" w:eastAsia="BatangChe" w:hAnsi="Times New Roman"/>
                <w:sz w:val="18"/>
                <w:szCs w:val="18"/>
              </w:rPr>
            </w:pPr>
            <w:r w:rsidRPr="00692ED1">
              <w:rPr>
                <w:rFonts w:ascii="Times New Roman" w:eastAsia="BatangChe" w:hAnsi="Times New Roman"/>
                <w:sz w:val="18"/>
                <w:szCs w:val="18"/>
              </w:rPr>
              <w:t xml:space="preserve">Аксессуары для </w:t>
            </w:r>
            <w:proofErr w:type="spellStart"/>
            <w:r w:rsidRPr="00692ED1">
              <w:rPr>
                <w:rFonts w:ascii="Times New Roman" w:eastAsia="BatangChe" w:hAnsi="Times New Roman"/>
                <w:sz w:val="18"/>
                <w:szCs w:val="18"/>
              </w:rPr>
              <w:t>периферисеских</w:t>
            </w:r>
            <w:proofErr w:type="spellEnd"/>
            <w:r w:rsidRPr="00692ED1">
              <w:rPr>
                <w:rFonts w:ascii="Times New Roman" w:eastAsia="BatangChe" w:hAnsi="Times New Roman"/>
                <w:sz w:val="18"/>
                <w:szCs w:val="18"/>
              </w:rPr>
              <w:t xml:space="preserve"> канюль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rPr>
                <w:rFonts w:ascii="Times New Roman" w:eastAsia="BatangChe" w:hAnsi="Times New Roman"/>
                <w:sz w:val="18"/>
                <w:szCs w:val="18"/>
              </w:rPr>
            </w:pPr>
            <w:r w:rsidRPr="00692ED1">
              <w:rPr>
                <w:rFonts w:ascii="Times New Roman" w:eastAsia="BatangChe" w:hAnsi="Times New Roman"/>
                <w:sz w:val="18"/>
                <w:szCs w:val="18"/>
              </w:rPr>
              <w:t xml:space="preserve">Аксессуары для </w:t>
            </w:r>
            <w:proofErr w:type="spellStart"/>
            <w:r w:rsidRPr="00692ED1">
              <w:rPr>
                <w:rFonts w:ascii="Times New Roman" w:eastAsia="BatangChe" w:hAnsi="Times New Roman"/>
                <w:sz w:val="18"/>
                <w:szCs w:val="18"/>
              </w:rPr>
              <w:t>периферисеских</w:t>
            </w:r>
            <w:proofErr w:type="spellEnd"/>
            <w:r w:rsidRPr="00692ED1">
              <w:rPr>
                <w:rFonts w:ascii="Times New Roman" w:eastAsia="BatangChe" w:hAnsi="Times New Roman"/>
                <w:sz w:val="18"/>
                <w:szCs w:val="18"/>
              </w:rPr>
              <w:t xml:space="preserve"> канюль (</w:t>
            </w:r>
            <w:proofErr w:type="spellStart"/>
            <w:r w:rsidRPr="00692ED1">
              <w:rPr>
                <w:rFonts w:ascii="Times New Roman" w:eastAsia="BatangChe" w:hAnsi="Times New Roman"/>
                <w:sz w:val="18"/>
                <w:szCs w:val="18"/>
              </w:rPr>
              <w:t>артериальных</w:t>
            </w:r>
            <w:proofErr w:type="gramStart"/>
            <w:r w:rsidRPr="00692ED1">
              <w:rPr>
                <w:rFonts w:ascii="Times New Roman" w:eastAsia="BatangChe" w:hAnsi="Times New Roman"/>
                <w:sz w:val="18"/>
                <w:szCs w:val="18"/>
              </w:rPr>
              <w:t>,в</w:t>
            </w:r>
            <w:proofErr w:type="gramEnd"/>
            <w:r w:rsidRPr="00692ED1">
              <w:rPr>
                <w:rFonts w:ascii="Times New Roman" w:eastAsia="BatangChe" w:hAnsi="Times New Roman"/>
                <w:sz w:val="18"/>
                <w:szCs w:val="18"/>
              </w:rPr>
              <w:t>енозных</w:t>
            </w:r>
            <w:proofErr w:type="spellEnd"/>
            <w:r w:rsidRPr="00692ED1">
              <w:rPr>
                <w:rFonts w:ascii="Times New Roman" w:eastAsia="BatangChe" w:hAnsi="Times New Roman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jc w:val="center"/>
              <w:rPr>
                <w:rFonts w:ascii="Times New Roman" w:eastAsia="BatangChe" w:hAnsi="Times New Roman"/>
                <w:sz w:val="18"/>
                <w:szCs w:val="18"/>
                <w:lang w:val="kk-KZ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692ED1">
              <w:rPr>
                <w:rFonts w:ascii="Times New Roman" w:eastAsia="BatangChe" w:hAnsi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692ED1">
            <w:pPr>
              <w:pStyle w:val="a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692ED1">
              <w:rPr>
                <w:rFonts w:ascii="Times New Roman" w:eastAsia="BatangChe" w:hAnsi="Times New Roman"/>
                <w:sz w:val="18"/>
                <w:szCs w:val="18"/>
              </w:rPr>
              <w:t>38 900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692ED1">
            <w:pPr>
              <w:pStyle w:val="a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692ED1">
              <w:rPr>
                <w:rFonts w:ascii="Times New Roman" w:eastAsia="BatangChe" w:hAnsi="Times New Roman"/>
                <w:sz w:val="18"/>
                <w:szCs w:val="18"/>
              </w:rPr>
              <w:t>155 600</w:t>
            </w:r>
          </w:p>
        </w:tc>
      </w:tr>
      <w:tr w:rsidR="000E28B9" w:rsidRPr="00AA4B83" w:rsidTr="000E28B9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8B9" w:rsidRPr="00AA4B83" w:rsidRDefault="000E28B9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 xml:space="preserve">Медицинский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фелт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из политетрафторэтилена  размер 10*10 стерильный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М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едицинский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фелт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из политетрафторэтилена  размер 10*10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</w:tr>
      <w:tr w:rsidR="000E28B9" w:rsidRPr="00AA4B83" w:rsidTr="000E28B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8B9" w:rsidRPr="00AA4B83" w:rsidRDefault="000E28B9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Гемоконцентратор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магистр.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Полисульфоновая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мембрана. Волокна, которые не нужно ополаскивать при установке. Площадь поверхности мембраны (м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>) - 0,71. Объем (мл) - 58. Молекулярный вес (в Дальтонах) - 65 000. Перепад давления 1(мм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Ст.) - 142.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Максимальное трансмембранное давление (мм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Ст.) - 500.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Длина (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>) - 25,3. Внутренний диаметр - 3,2. Внутренний диаметр волокон (микрон) - 200. Кровь (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>) - 6,35.  Фильтрация (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>) - 6,35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0E28B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41 340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8B9" w:rsidRPr="00692ED1" w:rsidRDefault="000E28B9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413 400</w:t>
            </w:r>
          </w:p>
        </w:tc>
      </w:tr>
      <w:tr w:rsidR="00CD6383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383" w:rsidRPr="00AA4B83" w:rsidRDefault="00CD63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383" w:rsidRPr="00692ED1" w:rsidRDefault="00CD6383" w:rsidP="00EB2F0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Катетер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383" w:rsidRPr="00692ED1" w:rsidRDefault="00CD6383" w:rsidP="00EB2F0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Катетер  для тромбэмболэктомии  Размеры 3</w:t>
            </w:r>
            <w:r w:rsidRPr="00692ED1">
              <w:rPr>
                <w:rFonts w:ascii="Times New Roman" w:hAnsi="Times New Roman"/>
                <w:sz w:val="18"/>
                <w:szCs w:val="18"/>
              </w:rPr>
              <w:t>F</w:t>
            </w: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Pr="00692ED1">
              <w:rPr>
                <w:rFonts w:ascii="Times New Roman" w:hAnsi="Times New Roman"/>
                <w:sz w:val="18"/>
                <w:szCs w:val="18"/>
              </w:rPr>
              <w:t xml:space="preserve"> 4F</w:t>
            </w: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Pr="00692ED1">
              <w:rPr>
                <w:rFonts w:ascii="Times New Roman" w:hAnsi="Times New Roman"/>
                <w:sz w:val="18"/>
                <w:szCs w:val="18"/>
              </w:rPr>
              <w:t>-</w:t>
            </w: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Pr="00692ED1">
              <w:rPr>
                <w:rFonts w:ascii="Times New Roman" w:hAnsi="Times New Roman"/>
                <w:sz w:val="18"/>
                <w:szCs w:val="18"/>
              </w:rPr>
              <w:t>F</w:t>
            </w: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, 6</w:t>
            </w:r>
            <w:r w:rsidRPr="00692ED1">
              <w:rPr>
                <w:rFonts w:ascii="Times New Roman" w:hAnsi="Times New Roman"/>
                <w:sz w:val="18"/>
                <w:szCs w:val="18"/>
              </w:rPr>
              <w:t>F</w:t>
            </w: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, 7</w:t>
            </w:r>
            <w:r w:rsidRPr="00692ED1">
              <w:rPr>
                <w:rFonts w:ascii="Times New Roman" w:hAnsi="Times New Roman"/>
                <w:sz w:val="18"/>
                <w:szCs w:val="18"/>
              </w:rPr>
              <w:t>F</w:t>
            </w: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383" w:rsidRPr="00692ED1" w:rsidRDefault="00CD6383" w:rsidP="00CD638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383" w:rsidRPr="00692ED1" w:rsidRDefault="00CD6383" w:rsidP="00CD638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383" w:rsidRPr="00692ED1" w:rsidRDefault="00692ED1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383" w:rsidRPr="00692ED1" w:rsidRDefault="00CD6383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val="kk-KZ"/>
              </w:rPr>
              <w:t>180000</w:t>
            </w:r>
          </w:p>
        </w:tc>
      </w:tr>
      <w:tr w:rsidR="0044094F" w:rsidRPr="00AA4B83" w:rsidTr="00FD3B6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4F" w:rsidRPr="00AA4B83" w:rsidRDefault="0044094F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4F" w:rsidRPr="00692ED1" w:rsidRDefault="0044094F" w:rsidP="00B84B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 xml:space="preserve">Мешок д/сбора жидкости 100см*100см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4F" w:rsidRPr="00692ED1" w:rsidRDefault="0044094F" w:rsidP="00B84B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Мешок для сбора жидкости 100 см * 100 см стерильный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4F" w:rsidRPr="00692ED1" w:rsidRDefault="0044094F" w:rsidP="00B84B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4F" w:rsidRPr="00692ED1" w:rsidRDefault="0044094F" w:rsidP="00B84B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4F" w:rsidRPr="00692ED1" w:rsidRDefault="0044094F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4F" w:rsidRPr="00692ED1" w:rsidRDefault="0044094F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255 000</w:t>
            </w:r>
          </w:p>
        </w:tc>
      </w:tr>
      <w:tr w:rsidR="00B84BDF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DF" w:rsidRPr="00AA4B83" w:rsidRDefault="00B84BDF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BDF" w:rsidRPr="00692ED1" w:rsidRDefault="00B84BDF" w:rsidP="00B84B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Аппарат кожный (35скобок)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5859" w:rsidRPr="00692ED1" w:rsidRDefault="00DF5859" w:rsidP="00DF58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Аппарат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сшивающий кожный, 35 скобок</w:t>
            </w:r>
          </w:p>
          <w:p w:rsidR="00B84BDF" w:rsidRPr="00692ED1" w:rsidRDefault="00DF5859" w:rsidP="00DF585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 xml:space="preserve">Механический сшивающий аппарат для закрытия операционных ран на коже при различных хирургических вмешательствах. Рабочая часть оснащена индикатором правильной установки рабочей части на кожу.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Заряжен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35 скобками из нержавеющей стали со специальным покрытием, снижающим трение, тканевую адгезию и обеспечивающим легкость установки и последующей экстракции скобок. Диаметр проволоки 0,53 мм, ширина коронки 5,7 мм, высота закрытой скобки 3,9 мм.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для использования у одного пациента. Не перезаряжается и не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для повторной стерилизации. Поставляется заряженным, стерильным.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BDF" w:rsidRPr="00692ED1" w:rsidRDefault="00DF5859" w:rsidP="00B84B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BDF" w:rsidRPr="00692ED1" w:rsidRDefault="00B84BDF" w:rsidP="00B84B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BDF" w:rsidRPr="00692ED1" w:rsidRDefault="00B84BDF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11 100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BDF" w:rsidRPr="00692ED1" w:rsidRDefault="00B84BDF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266 400</w:t>
            </w:r>
          </w:p>
        </w:tc>
      </w:tr>
      <w:tr w:rsidR="00FD6722" w:rsidRPr="00AA4B83" w:rsidTr="00DF4A50">
        <w:trPr>
          <w:trHeight w:val="1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2" w:rsidRPr="00AA4B83" w:rsidRDefault="00FD6722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22" w:rsidRPr="00692ED1" w:rsidRDefault="00FD6722" w:rsidP="00FD6722">
            <w:pPr>
              <w:pStyle w:val="a4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 xml:space="preserve">Рассасывающийся хирургический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гемостатический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материал 5,1 см х 10,2 см.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22" w:rsidRPr="00692ED1" w:rsidRDefault="00FD6722" w:rsidP="00FD6722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 xml:space="preserve">Стерильный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местный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рассасывающийся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гемостатический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монокомпонентный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материал на основе окисленной регенерированной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репозиционирования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продукта. Материал представлен в виде многослойной волокнистой структуры, позволяющей моделировать размер и форму фрагмента, а также расслаивать материал не менее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чем на 7 слоев для достижения гемостаза на больших поверхностях.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При контакте материала с кровью должна создаваться кислая среда,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 -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Staphylococcus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aureus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т.ч.MRSA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Staphylococcus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epidermidis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. MRSE;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Escherichia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coli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Pseudomonas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aeruginosa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Enterococcus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. VRE; устойчивые к пенициллину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Streptococcus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pneumoniae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lastRenderedPageBreak/>
              <w:t>Micrococcus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luteus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Streptococcus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pyogenes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>, группа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Streptococcus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pyogenes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, группа В;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Streptococcus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salivarius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Branhamella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catarrhalis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Bacillus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subtilis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Proteus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vulgaris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Corynebacterium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xerosis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Mycobacterium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phlei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Clostridium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tetani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Clostridium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perfringens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Bacteroides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fragilis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Klebsiella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aerogenes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Lactobacillus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sp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.;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Salmonella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enteritidis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Shigella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dysennteriae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Serratia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marcescens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Enterobacter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cloacae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Pseudomonas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stutzeri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Proteus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mirabilis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. Приведенный выше список штаммов патогенов должен быть подтвержден доказанным бактерицидным эффектом и должен быть указан в прилагаемой к продукту инструкции. Инструкция должна содержать пошаговое схематическое руководство по применению при эндоскопических процедурах в виде изображений. Материал полностью рассасывается в течение 7-14 дней. </w:t>
            </w:r>
            <w:proofErr w:type="gramStart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Материал должен быть предназначен для остановки капиллярных, венозных и слабых артериальных кровотечений во многих областях хирургии, в частности,  в нейрохирургии, особенно при оперативных вмешательствах на головном мозге, в сердечно-сосудистой хирургии, при </w:t>
            </w:r>
            <w:proofErr w:type="spellStart"/>
            <w:r w:rsidRPr="00692ED1">
              <w:rPr>
                <w:rFonts w:ascii="Times New Roman" w:hAnsi="Times New Roman"/>
                <w:sz w:val="18"/>
                <w:szCs w:val="18"/>
              </w:rPr>
              <w:t>геморроидэктомии</w:t>
            </w:r>
            <w:proofErr w:type="spellEnd"/>
            <w:r w:rsidRPr="00692ED1">
              <w:rPr>
                <w:rFonts w:ascii="Times New Roman" w:hAnsi="Times New Roman"/>
                <w:sz w:val="18"/>
                <w:szCs w:val="18"/>
              </w:rPr>
              <w:t>, биопсии,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при пересадке</w:t>
            </w:r>
            <w:proofErr w:type="gramEnd"/>
            <w:r w:rsidRPr="00692ED1">
              <w:rPr>
                <w:rFonts w:ascii="Times New Roman" w:hAnsi="Times New Roman"/>
                <w:sz w:val="18"/>
                <w:szCs w:val="18"/>
              </w:rPr>
              <w:t xml:space="preserve"> кожи, при лечении поверхностных травматических повреждениях. Размер 5,1 см х 10,2 см.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22" w:rsidRPr="00692ED1" w:rsidRDefault="00FD6722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22" w:rsidRPr="00692ED1" w:rsidRDefault="00FD6722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22" w:rsidRPr="00692ED1" w:rsidRDefault="00FD6722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37 500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22" w:rsidRPr="00692ED1" w:rsidRDefault="00FD6722" w:rsidP="00692ED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ED1">
              <w:rPr>
                <w:rFonts w:ascii="Times New Roman" w:hAnsi="Times New Roman"/>
                <w:sz w:val="18"/>
                <w:szCs w:val="18"/>
              </w:rPr>
              <w:t>5 625 000</w:t>
            </w:r>
          </w:p>
        </w:tc>
      </w:tr>
      <w:tr w:rsidR="00487157" w:rsidRPr="00AA4B83" w:rsidTr="00AC0EDD">
        <w:trPr>
          <w:trHeight w:val="29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57" w:rsidRPr="00AA4B83" w:rsidRDefault="00487157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692ED1" w:rsidRDefault="00487157">
            <w:pPr>
              <w:pStyle w:val="1"/>
              <w:shd w:val="clear" w:color="auto" w:fill="FFFFFF"/>
              <w:spacing w:before="0" w:after="150" w:line="24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92ED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Облучатель-</w:t>
            </w:r>
            <w:proofErr w:type="spellStart"/>
            <w:r w:rsidRPr="00692ED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рециркулятор</w:t>
            </w:r>
            <w:proofErr w:type="spellEnd"/>
            <w:r w:rsidRPr="00692ED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медицинский СН 211-115 Пластик</w:t>
            </w:r>
          </w:p>
          <w:p w:rsidR="00487157" w:rsidRPr="00692ED1" w:rsidRDefault="00487157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57" w:rsidRPr="00AC0EDD" w:rsidRDefault="00487157" w:rsidP="00AC0EDD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ЭФФЕКТИВНАЯ ПРОФИЛАКТИКА ГРИППА!</w:t>
            </w: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proofErr w:type="spellStart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Бе</w:t>
            </w:r>
            <w:proofErr w:type="gramStart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c</w:t>
            </w:r>
            <w:proofErr w:type="gramEnd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шумен</w:t>
            </w:r>
            <w:proofErr w:type="spellEnd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работе</w:t>
            </w: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Высокая эффективность обеззараживания воздуха (до 99%)</w:t>
            </w: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На лицевой панели предусмотрен удобный таймер установки времени работы</w:t>
            </w: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Наружные поверхности выполнены из ударопрочного пластика</w:t>
            </w: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Абсолютно безопасен для людей</w:t>
            </w: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Предусмотрены крепежи для установки на стену и подставку передвижную</w:t>
            </w:r>
          </w:p>
          <w:p w:rsidR="00487157" w:rsidRPr="00AC0EDD" w:rsidRDefault="00487157" w:rsidP="00AC0EDD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Внимание! Подставка для </w:t>
            </w:r>
            <w:proofErr w:type="spellStart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рециркулятора</w:t>
            </w:r>
            <w:proofErr w:type="spellEnd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поставляется отдельно и не входит в стоимость облучателя-</w:t>
            </w:r>
            <w:proofErr w:type="spellStart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рециркулятора</w:t>
            </w:r>
            <w:proofErr w:type="spellEnd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487157" w:rsidRPr="00AC0EDD" w:rsidRDefault="00487157" w:rsidP="00AC0EDD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0ED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en-US"/>
              </w:rPr>
              <w:t>Технические характеристики:</w:t>
            </w:r>
          </w:p>
          <w:p w:rsidR="00487157" w:rsidRPr="00692ED1" w:rsidRDefault="00487157" w:rsidP="00AC0EDD">
            <w:pPr>
              <w:pStyle w:val="a4"/>
              <w:rPr>
                <w:lang w:eastAsia="en-US"/>
              </w:rPr>
            </w:pP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Габариты (</w:t>
            </w:r>
            <w:proofErr w:type="spellStart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ДхШхВ</w:t>
            </w:r>
            <w:proofErr w:type="spellEnd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) (± 5%): 720х175х110 мм</w:t>
            </w: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Потребляемая мощность (не более): 40 Вт</w:t>
            </w: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Производительность (± 5%): 60 м³/ч</w:t>
            </w:r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Источник излучения: 2 </w:t>
            </w:r>
            <w:proofErr w:type="gramStart"/>
            <w:r w:rsidRPr="00AC0EDD">
              <w:rPr>
                <w:rFonts w:ascii="Times New Roman" w:hAnsi="Times New Roman"/>
                <w:sz w:val="18"/>
                <w:szCs w:val="18"/>
                <w:lang w:eastAsia="en-US"/>
              </w:rPr>
              <w:t>УФ-лампы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692ED1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92ED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692ED1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692ED1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eastAsia="en-US"/>
              </w:rPr>
              <w:t>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692ED1" w:rsidRDefault="00487157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692ED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520 000</w:t>
            </w:r>
          </w:p>
        </w:tc>
      </w:tr>
      <w:tr w:rsidR="00487157" w:rsidRPr="00AA4B83" w:rsidTr="003973C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57" w:rsidRPr="00AA4B83" w:rsidRDefault="00487157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692ED1" w:rsidRDefault="00487157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eastAsia="en-US"/>
              </w:rPr>
              <w:t>Перчатки стерильные.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57" w:rsidRPr="00692ED1" w:rsidRDefault="001655DC" w:rsidP="001655DC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gramStart"/>
            <w:r w:rsidRPr="00692ED1">
              <w:rPr>
                <w:rFonts w:ascii="Times New Roman" w:hAnsi="Times New Roman"/>
                <w:color w:val="000000"/>
                <w:sz w:val="18"/>
                <w:szCs w:val="18"/>
              </w:rPr>
              <w:t>Перчатки   л</w:t>
            </w:r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атексные, анатомической формы, хирургические, стерильные, текстурированные, </w:t>
            </w:r>
            <w:proofErr w:type="spellStart"/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>неопудренные</w:t>
            </w:r>
            <w:proofErr w:type="spellEnd"/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, наружная и внутренняя поверхность хлорированная обработаны силиконом для лучшего надевания, толщина: средний палец- 0,22мм, ладонь-0, 205мм,  манжета-0,24 мм, усиленная  манжета без валика, длина 285 мм, цвет белый,  соответствует международным стандартам: знак СЕ 0086, EN455 части 1,2,3,  уровень контроля  AQL 1,5,  содержание белка &lt; 20 мкг/г при использовании метода </w:t>
            </w:r>
            <w:proofErr w:type="spellStart"/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>Modified</w:t>
            </w:r>
            <w:proofErr w:type="spellEnd"/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>Lowry</w:t>
            </w:r>
            <w:proofErr w:type="spellEnd"/>
            <w:proofErr w:type="gramEnd"/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и ВЭЖХ, ISO 9001, ISO 46001, прочность на разрыв 17-18, размеры: 6, 6.5, 7, 7.5, 8, 8.5, 9. Перчатки  хирургические латексные стерильные для  общехирургических операций, в том числе  продолжительных. </w:t>
            </w:r>
            <w:proofErr w:type="spellStart"/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>Неопудренные</w:t>
            </w:r>
            <w:proofErr w:type="spellEnd"/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для снижения риска контактного дерматита.  Текстурированные   для улучшенного захвата инструментов. Наружная и внутренняя хлоринация поверхности перчатки. Манжета без валика для защиты от </w:t>
            </w:r>
            <w:proofErr w:type="spellStart"/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>пережимания</w:t>
            </w:r>
            <w:proofErr w:type="spellEnd"/>
            <w:r w:rsidRPr="00692ED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предплечья. Не имеют запаха.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692ED1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692ED1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eastAsia="en-US"/>
              </w:rPr>
              <w:t>5 500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692ED1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2ED1">
              <w:rPr>
                <w:rFonts w:ascii="Times New Roman" w:hAnsi="Times New Roman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692ED1" w:rsidRDefault="00487157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692ED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3 300 000</w:t>
            </w:r>
          </w:p>
        </w:tc>
      </w:tr>
      <w:tr w:rsidR="00487157" w:rsidRPr="00AA4B83" w:rsidTr="00E51A08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57" w:rsidRPr="00AA4B83" w:rsidRDefault="00487157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157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Держатель дозатор 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флакон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(антисептик)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157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Держатель дозатор 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флакон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(антисептик)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Default="00487157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150 000</w:t>
            </w:r>
          </w:p>
        </w:tc>
      </w:tr>
      <w:tr w:rsidR="00487157" w:rsidRPr="00AA4B83" w:rsidTr="001058FC">
        <w:trPr>
          <w:trHeight w:val="8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57" w:rsidRPr="00AA4B83" w:rsidRDefault="00487157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1058FC" w:rsidRDefault="00487157" w:rsidP="001058FC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Тележка для прибора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>Equator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EQ-5000</w:t>
            </w:r>
          </w:p>
          <w:p w:rsidR="00487157" w:rsidRPr="001058FC" w:rsidRDefault="00487157" w:rsidP="001058FC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1058FC" w:rsidRDefault="00487157" w:rsidP="001058FC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Тележка для обеспечения мобильности прибора согревающего конвекционного типа.  Пять колес. Ножной тормоз на 2 из них. Столб-стойка для регуляции высоты крепления прибора.  Ручка для удобства перемещения. Перемещаемая по стойке  корзинка для </w:t>
            </w:r>
            <w:proofErr w:type="gramStart"/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</w:t>
            </w:r>
            <w:proofErr w:type="gramEnd"/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Default="0048715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642 400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Default="00487157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1 284 800</w:t>
            </w:r>
          </w:p>
        </w:tc>
      </w:tr>
      <w:tr w:rsidR="00487157" w:rsidRPr="00AA4B83" w:rsidTr="001058FC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57" w:rsidRPr="00AA4B83" w:rsidRDefault="00487157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57" w:rsidRPr="001058FC" w:rsidRDefault="00487157" w:rsidP="001058FC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>Системы одноразовые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ED1" w:rsidRPr="001058FC" w:rsidRDefault="00487157" w:rsidP="001058FC">
            <w:pPr>
              <w:pStyle w:val="a4"/>
              <w:rPr>
                <w:rFonts w:ascii="Times New Roman" w:hAnsi="Times New Roman"/>
                <w:bCs/>
                <w:sz w:val="18"/>
                <w:szCs w:val="18"/>
                <w:lang w:val="kk-KZ" w:eastAsia="en-US"/>
              </w:rPr>
            </w:pPr>
            <w:r w:rsidRPr="001058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для переливания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1058FC" w:rsidRDefault="00487157" w:rsidP="001058FC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1058FC" w:rsidRDefault="00487157" w:rsidP="001058FC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>4 173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1058FC" w:rsidRDefault="00487157" w:rsidP="001058FC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>81,79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57" w:rsidRPr="001058FC" w:rsidRDefault="00487157" w:rsidP="001058FC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058FC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341 309,67</w:t>
            </w:r>
          </w:p>
        </w:tc>
      </w:tr>
      <w:tr w:rsidR="00487157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57" w:rsidRPr="00AA4B83" w:rsidRDefault="00487157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157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058FC">
              <w:rPr>
                <w:rFonts w:ascii="Times New Roman" w:hAnsi="Times New Roman"/>
                <w:sz w:val="18"/>
                <w:szCs w:val="18"/>
                <w:lang w:val="kk-KZ"/>
              </w:rPr>
              <w:t>Ингалятор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157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Универсальный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небулайзер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с неограниченным временем работы компрессора, подходит как для детей, так и для взрослых, для лечения любых заболеваний дыхательной системы в домашних и амбулаторных условиях!</w:t>
            </w:r>
            <w:r w:rsidRPr="001058FC">
              <w:rPr>
                <w:rFonts w:ascii="Times New Roman" w:hAnsi="Times New Roman"/>
                <w:sz w:val="18"/>
                <w:szCs w:val="18"/>
              </w:rPr>
              <w:br/>
              <w:t>неограниченное время работы компрессора (уровень шума - 60 дБ, вес - 1,9 кг)</w:t>
            </w:r>
            <w:r w:rsidRPr="001058FC">
              <w:rPr>
                <w:rFonts w:ascii="Times New Roman" w:hAnsi="Times New Roman"/>
                <w:sz w:val="18"/>
                <w:szCs w:val="18"/>
              </w:rPr>
              <w:br/>
              <w:t xml:space="preserve">удобное крепление для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небулайзерной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камеры на корпусе прибора</w:t>
            </w:r>
            <w:r w:rsidRPr="001058FC">
              <w:rPr>
                <w:rFonts w:ascii="Times New Roman" w:hAnsi="Times New Roman"/>
                <w:sz w:val="18"/>
                <w:szCs w:val="18"/>
              </w:rPr>
              <w:br/>
              <w:t>влагозащитный переключатель</w:t>
            </w:r>
            <w:r w:rsidRPr="001058FC">
              <w:rPr>
                <w:rFonts w:ascii="Times New Roman" w:hAnsi="Times New Roman"/>
                <w:sz w:val="18"/>
                <w:szCs w:val="18"/>
              </w:rPr>
              <w:br/>
              <w:t>широкий спектр применяемых лекарственных препаратов</w:t>
            </w:r>
            <w:r w:rsidRPr="001058FC">
              <w:rPr>
                <w:rFonts w:ascii="Times New Roman" w:hAnsi="Times New Roman"/>
                <w:sz w:val="18"/>
                <w:szCs w:val="18"/>
              </w:rPr>
              <w:br/>
              <w:t>технология виртуальных клапанов V.V.T.</w:t>
            </w:r>
            <w:proofErr w:type="gram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ВиВиТи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>)</w:t>
            </w:r>
            <w:r w:rsidRPr="001058FC">
              <w:rPr>
                <w:rFonts w:ascii="Times New Roman" w:hAnsi="Times New Roman"/>
                <w:sz w:val="18"/>
                <w:szCs w:val="18"/>
              </w:rPr>
              <w:br/>
              <w:t>высокая производительность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157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157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058FC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157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49 000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157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392 000</w:t>
            </w:r>
          </w:p>
        </w:tc>
      </w:tr>
      <w:tr w:rsidR="00692ED1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D1" w:rsidRPr="00AA4B83" w:rsidRDefault="00692ED1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Насадка для ингалятора</w:t>
            </w:r>
            <w:r w:rsidRPr="001058F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Насадка для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ингалятор</w:t>
            </w:r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а"</w:t>
            </w:r>
            <w:proofErr w:type="gramEnd"/>
            <w:r w:rsidRPr="001058FC">
              <w:rPr>
                <w:rFonts w:ascii="Times New Roman" w:hAnsi="Times New Roman"/>
                <w:sz w:val="18"/>
                <w:szCs w:val="18"/>
              </w:rPr>
              <w:t>ОМРОН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>"</w:t>
            </w:r>
          </w:p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692ED1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D1" w:rsidRPr="00AA4B83" w:rsidRDefault="00692ED1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Стаканчик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выпариватель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на ингалятор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Стаканчик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выпариватель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58FC">
              <w:rPr>
                <w:rFonts w:ascii="Times New Roman" w:hAnsi="Times New Roman"/>
                <w:sz w:val="18"/>
                <w:szCs w:val="18"/>
                <w:lang w:val="kk-KZ"/>
              </w:rPr>
              <w:t>для</w:t>
            </w:r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ингалятор</w:t>
            </w:r>
            <w:r w:rsidRPr="001058F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 </w:t>
            </w:r>
            <w:r w:rsidRPr="001058FC">
              <w:rPr>
                <w:rFonts w:ascii="Times New Roman" w:hAnsi="Times New Roman"/>
                <w:sz w:val="18"/>
                <w:szCs w:val="18"/>
              </w:rPr>
              <w:t>"ОМРОН"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058FC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ED1" w:rsidRPr="001058FC" w:rsidRDefault="00692ED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</w:tr>
      <w:tr w:rsidR="00AE7DD8" w:rsidRPr="00AA4B83" w:rsidTr="00F4272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D8" w:rsidRPr="00AA4B83" w:rsidRDefault="00AE7DD8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D8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Интродьюсер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для трудной трахеи (проводник для интубации с мягким концом)</w:t>
            </w:r>
          </w:p>
          <w:p w:rsidR="00AE7DD8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D8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Используется для придания необходимой формы и жесткости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эндотрахеальным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трубкам при интубации трахеи. </w:t>
            </w:r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Изготовлен</w:t>
            </w:r>
            <w:proofErr w:type="gram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из гибкого алюминия, покрытого полиэтиленом. Сохраняет приданную ему форму. Мягкий атравматический дистальный конец. Проводник для интубации трудной интубации трахеи с загнутым концом, длина 70 см, размер 15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Fr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D8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D8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D8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6 000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DD8" w:rsidRPr="001058FC" w:rsidRDefault="00AE7DD8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72 000</w:t>
            </w:r>
          </w:p>
        </w:tc>
      </w:tr>
      <w:tr w:rsidR="008900C5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C5" w:rsidRPr="00AA4B83" w:rsidRDefault="008900C5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0C5" w:rsidRPr="001058FC" w:rsidRDefault="008900C5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Дыхательный контур одноразовый с проводом нагрева 1,5м и камерой увлажнения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668" w:rsidRPr="001058FC" w:rsidRDefault="008A1446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Одноразовый дыхательный контур, с подогревом линии вдоха, в комплекте с камерой увлажнителя. </w:t>
            </w:r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для работы с увлажнителем.</w:t>
            </w:r>
            <w:r w:rsidR="005D1668" w:rsidRPr="001058FC">
              <w:rPr>
                <w:rFonts w:ascii="Times New Roman" w:hAnsi="Times New Roman"/>
                <w:sz w:val="18"/>
                <w:szCs w:val="18"/>
              </w:rPr>
              <w:t xml:space="preserve"> MP00307</w:t>
            </w:r>
          </w:p>
          <w:p w:rsidR="008A1446" w:rsidRPr="001058FC" w:rsidRDefault="008A1446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Длина 1,5 м</w:t>
            </w:r>
          </w:p>
          <w:p w:rsidR="008A1446" w:rsidRPr="001058FC" w:rsidRDefault="008A1446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Не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0C5" w:rsidRPr="001058FC" w:rsidRDefault="008900C5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0C5" w:rsidRPr="001058FC" w:rsidRDefault="008900C5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0C5" w:rsidRPr="001058FC" w:rsidRDefault="008900C5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0C5" w:rsidRPr="001058FC" w:rsidRDefault="008900C5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7 500 000</w:t>
            </w:r>
          </w:p>
        </w:tc>
      </w:tr>
      <w:tr w:rsidR="008900C5" w:rsidRPr="00AA4B83" w:rsidTr="00DE059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C5" w:rsidRPr="00AA4B83" w:rsidRDefault="008900C5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0C5" w:rsidRPr="001058FC" w:rsidRDefault="008900C5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Система для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Инфузомат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, 250см. 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0C5" w:rsidRPr="001058FC" w:rsidRDefault="008900C5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Оригинальная система для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Infusomat</w:t>
            </w:r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proofErr w:type="gram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250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0C5" w:rsidRPr="001058FC" w:rsidRDefault="008900C5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0C5" w:rsidRPr="001058FC" w:rsidRDefault="004B4EFD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409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0C5" w:rsidRPr="001058FC" w:rsidRDefault="004B4EFD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1097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0C5" w:rsidRPr="001058FC" w:rsidRDefault="004B4EFD" w:rsidP="001058F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448 673</w:t>
            </w:r>
          </w:p>
        </w:tc>
      </w:tr>
      <w:tr w:rsidR="00ED0FAA" w:rsidRPr="00AA4B83" w:rsidTr="006E423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AA" w:rsidRPr="00AA4B83" w:rsidRDefault="00ED0F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Линия для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Инфузомат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>, 250см.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Линия для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Инфузомат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>, 250см.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1 351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1 080 800</w:t>
            </w:r>
          </w:p>
        </w:tc>
      </w:tr>
      <w:tr w:rsidR="00ED0FAA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AA" w:rsidRPr="00AA4B83" w:rsidRDefault="00ED0F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Воздушный шланг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Воздушный шланг для манжет НИАД, монитора " NIHON KOHDEN ", взрослый, 3,5 метра ,2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трубный</w:t>
            </w:r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 w:rsidRPr="001058FC">
              <w:rPr>
                <w:rFonts w:ascii="Times New Roman" w:hAnsi="Times New Roman"/>
                <w:sz w:val="18"/>
                <w:szCs w:val="18"/>
              </w:rPr>
              <w:t>ногоразовый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. Код </w:t>
            </w:r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1058FC">
              <w:rPr>
                <w:rFonts w:ascii="Times New Roman" w:hAnsi="Times New Roman"/>
                <w:sz w:val="18"/>
                <w:szCs w:val="18"/>
              </w:rPr>
              <w:t>модель )- S902 ( YN - 901P ).</w:t>
            </w:r>
          </w:p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66 530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931 420</w:t>
            </w:r>
          </w:p>
        </w:tc>
      </w:tr>
      <w:tr w:rsidR="00ED0FAA" w:rsidRPr="00AA4B83" w:rsidTr="0012444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AA" w:rsidRPr="00AA4B83" w:rsidRDefault="00ED0F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Температурный датчик/ датчик потока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Температурный датчик/ датчик потока для F&amp;P MR 850 для всех дыхательных контуров, 1,5м 8414966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344 040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1 720 200</w:t>
            </w:r>
          </w:p>
        </w:tc>
      </w:tr>
      <w:tr w:rsidR="00ED0FAA" w:rsidRPr="00AA4B83" w:rsidTr="0012444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AA" w:rsidRPr="00AA4B83" w:rsidRDefault="00ED0F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 xml:space="preserve">Адаптер нагревателя шланга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Адаптер нагревателя шланга, для дыхательного контура F&amp;P MR 850</w:t>
            </w:r>
            <w:r w:rsidRPr="001058F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1058FC">
              <w:rPr>
                <w:rFonts w:ascii="Times New Roman" w:hAnsi="Times New Roman"/>
                <w:sz w:val="18"/>
                <w:szCs w:val="18"/>
              </w:rPr>
              <w:t>8414992</w:t>
            </w:r>
          </w:p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127 600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765 600</w:t>
            </w:r>
          </w:p>
        </w:tc>
      </w:tr>
      <w:tr w:rsidR="00ED0FAA" w:rsidRPr="00AA4B83" w:rsidTr="0012444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AA" w:rsidRPr="00AA4B83" w:rsidRDefault="00ED0F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Клипсы титановые  5мм (нестерильные) 100шт \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клипсы титановые  5мм (нестерильные) 100шт \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  <w:lang w:val="kk-KZ"/>
              </w:rPr>
              <w:t>875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FAA" w:rsidRPr="001058FC" w:rsidRDefault="00ED0FAA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437</w:t>
            </w:r>
            <w:r w:rsidRPr="001058F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1058F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2275FB" w:rsidRPr="00AA4B83" w:rsidTr="0012444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5FB" w:rsidRPr="00AA4B83" w:rsidRDefault="002275FB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5FB" w:rsidRPr="001058FC" w:rsidRDefault="002275FB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Термобумага для дефибриллятора "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Nihon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Kohden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cardiolife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"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5FB" w:rsidRPr="001058FC" w:rsidRDefault="002275FB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Термобумага для дефибриллятора "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Nihon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Kohden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cardiolife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>" ТЕС 5621  рулон  57 -58 мм</w:t>
            </w:r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1058FC">
              <w:rPr>
                <w:rFonts w:ascii="Times New Roman" w:hAnsi="Times New Roman"/>
                <w:sz w:val="18"/>
                <w:szCs w:val="18"/>
              </w:rPr>
              <w:t>иаметр рулона не более 50 мм №10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5FB" w:rsidRPr="001058FC" w:rsidRDefault="002275FB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5FB" w:rsidRPr="001058FC" w:rsidRDefault="002275FB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5FB" w:rsidRPr="001058FC" w:rsidRDefault="002275FB" w:rsidP="001058F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058FC">
              <w:rPr>
                <w:rFonts w:ascii="Times New Roman" w:hAnsi="Times New Roman"/>
                <w:sz w:val="18"/>
                <w:szCs w:val="18"/>
                <w:lang w:val="kk-KZ"/>
              </w:rPr>
              <w:t>8 000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5FB" w:rsidRPr="001058FC" w:rsidRDefault="002275FB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160 000</w:t>
            </w:r>
          </w:p>
        </w:tc>
      </w:tr>
      <w:tr w:rsidR="001E74B1" w:rsidRPr="00AA4B83" w:rsidTr="0012444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4B1" w:rsidRPr="00AA4B83" w:rsidRDefault="001E74B1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4B1" w:rsidRPr="001058FC" w:rsidRDefault="001E74B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Электроды о/</w:t>
            </w:r>
            <w:proofErr w:type="gramStart"/>
            <w:r w:rsidRPr="001058F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для ЭКГ-МРТ 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74B1" w:rsidRPr="001058FC" w:rsidRDefault="001E74B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Стимуляционный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МРТ-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совмфестимый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Fr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. Длины электрода 60 см. Стероид - 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дексаметазона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ацетат (</w:t>
            </w:r>
            <w:proofErr w:type="spellStart"/>
            <w:r w:rsidRPr="001058FC">
              <w:rPr>
                <w:rFonts w:ascii="Times New Roman" w:hAnsi="Times New Roman"/>
                <w:sz w:val="18"/>
                <w:szCs w:val="18"/>
              </w:rPr>
              <w:t>содержется</w:t>
            </w:r>
            <w:proofErr w:type="spellEnd"/>
            <w:r w:rsidRPr="001058FC">
              <w:rPr>
                <w:rFonts w:ascii="Times New Roman" w:hAnsi="Times New Roman"/>
                <w:sz w:val="18"/>
                <w:szCs w:val="18"/>
              </w:rPr>
              <w:t xml:space="preserve">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4B1" w:rsidRPr="001058FC" w:rsidRDefault="001E74B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4B1" w:rsidRPr="001058FC" w:rsidRDefault="001E74B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4B1" w:rsidRPr="001058FC" w:rsidRDefault="001E74B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4B1" w:rsidRPr="001058FC" w:rsidRDefault="001E74B1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058FC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B2137E" w:rsidRPr="00AA4B83" w:rsidTr="0012444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AA4B83" w:rsidRDefault="00B2137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37E" w:rsidRPr="00B2137E" w:rsidRDefault="00B2137E" w:rsidP="001058F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Монооксид</w:t>
            </w:r>
            <w:proofErr w:type="spellEnd"/>
            <w:r w:rsidRPr="00B213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азота</w:t>
            </w:r>
            <w:r w:rsidRPr="00B2137E">
              <w:rPr>
                <w:rFonts w:ascii="Times New Roman" w:hAnsi="Times New Roman"/>
                <w:sz w:val="18"/>
                <w:szCs w:val="18"/>
              </w:rPr>
              <w:t xml:space="preserve"> 1000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ppm</w:t>
            </w:r>
            <w:r w:rsidRPr="00B213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NO</w:t>
            </w:r>
            <w:r w:rsidRPr="00B2137E">
              <w:rPr>
                <w:rFonts w:ascii="Times New Roman" w:hAnsi="Times New Roman"/>
                <w:sz w:val="18"/>
                <w:szCs w:val="18"/>
              </w:rPr>
              <w:t>+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Balans</w:t>
            </w:r>
            <w:proofErr w:type="spellEnd"/>
            <w:r w:rsidRPr="00B213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B2137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в балонах по 23 л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137E" w:rsidRPr="00B2137E" w:rsidRDefault="00B2137E" w:rsidP="00B2137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Монооксид азота в азоте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сжатый, невоспламеняющийся, бесцветный газ со слабым сладковатым запахом. Относительная плотность: (воздух =1): 0,979.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балонах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23 литра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Высота баллона вместе с ручкой не более 103 см. диаметр баллона не менее 65 см. Размер баллонов указан для установки в стойку оборудования.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37E" w:rsidRPr="001058FC" w:rsidRDefault="00B2137E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37E" w:rsidRPr="001058FC" w:rsidRDefault="00B2137E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37E" w:rsidRPr="00B2137E" w:rsidRDefault="00B2137E" w:rsidP="001058F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1 474 250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37E" w:rsidRPr="001058FC" w:rsidRDefault="00B2137E" w:rsidP="001058F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2137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 </w:t>
            </w:r>
            <w:bookmarkStart w:id="0" w:name="_GoBack"/>
            <w:r w:rsidRPr="00B2137E">
              <w:rPr>
                <w:rFonts w:ascii="Times New Roman" w:hAnsi="Times New Roman"/>
                <w:sz w:val="18"/>
                <w:szCs w:val="18"/>
              </w:rPr>
              <w:t>948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2137E">
              <w:rPr>
                <w:rFonts w:ascii="Times New Roman" w:hAnsi="Times New Roman"/>
                <w:sz w:val="18"/>
                <w:szCs w:val="18"/>
              </w:rPr>
              <w:t>500</w:t>
            </w:r>
            <w:bookmarkEnd w:id="0"/>
          </w:p>
        </w:tc>
      </w:tr>
    </w:tbl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34" w:rsidRDefault="00D10F34" w:rsidP="004C5CD1">
      <w:pPr>
        <w:spacing w:after="0" w:line="240" w:lineRule="auto"/>
      </w:pPr>
      <w:r>
        <w:separator/>
      </w:r>
    </w:p>
  </w:endnote>
  <w:end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34" w:rsidRDefault="00D10F34" w:rsidP="004C5CD1">
      <w:pPr>
        <w:spacing w:after="0" w:line="240" w:lineRule="auto"/>
      </w:pPr>
      <w:r>
        <w:separator/>
      </w:r>
    </w:p>
  </w:footnote>
  <w:foot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C2E74"/>
    <w:rsid w:val="000E28B9"/>
    <w:rsid w:val="001058FC"/>
    <w:rsid w:val="00130904"/>
    <w:rsid w:val="00141640"/>
    <w:rsid w:val="0014328D"/>
    <w:rsid w:val="0016117A"/>
    <w:rsid w:val="001655DC"/>
    <w:rsid w:val="00165F84"/>
    <w:rsid w:val="001D04ED"/>
    <w:rsid w:val="001E1468"/>
    <w:rsid w:val="001E74B1"/>
    <w:rsid w:val="002275FB"/>
    <w:rsid w:val="002645AF"/>
    <w:rsid w:val="00264B9A"/>
    <w:rsid w:val="002975E9"/>
    <w:rsid w:val="00324602"/>
    <w:rsid w:val="00350C6B"/>
    <w:rsid w:val="00362820"/>
    <w:rsid w:val="00372A86"/>
    <w:rsid w:val="00393C33"/>
    <w:rsid w:val="003A0DD7"/>
    <w:rsid w:val="003B7204"/>
    <w:rsid w:val="003C433F"/>
    <w:rsid w:val="003F4C64"/>
    <w:rsid w:val="00434E3E"/>
    <w:rsid w:val="0044094F"/>
    <w:rsid w:val="00487157"/>
    <w:rsid w:val="004B4EFD"/>
    <w:rsid w:val="004C5CD1"/>
    <w:rsid w:val="004D4E8A"/>
    <w:rsid w:val="00523A10"/>
    <w:rsid w:val="005250CB"/>
    <w:rsid w:val="005269D6"/>
    <w:rsid w:val="00537D1F"/>
    <w:rsid w:val="00554452"/>
    <w:rsid w:val="005C424E"/>
    <w:rsid w:val="005C7A8E"/>
    <w:rsid w:val="005D1668"/>
    <w:rsid w:val="006367E1"/>
    <w:rsid w:val="00660ADA"/>
    <w:rsid w:val="00665022"/>
    <w:rsid w:val="00692ED1"/>
    <w:rsid w:val="00693996"/>
    <w:rsid w:val="006C4A38"/>
    <w:rsid w:val="006E24F4"/>
    <w:rsid w:val="006F1D05"/>
    <w:rsid w:val="006F3FAC"/>
    <w:rsid w:val="00705929"/>
    <w:rsid w:val="00706DE0"/>
    <w:rsid w:val="0073484F"/>
    <w:rsid w:val="007356F1"/>
    <w:rsid w:val="00767784"/>
    <w:rsid w:val="00770840"/>
    <w:rsid w:val="007A0FAB"/>
    <w:rsid w:val="007D5112"/>
    <w:rsid w:val="00820D89"/>
    <w:rsid w:val="008612E5"/>
    <w:rsid w:val="00865352"/>
    <w:rsid w:val="008900C5"/>
    <w:rsid w:val="008A1446"/>
    <w:rsid w:val="008C22BD"/>
    <w:rsid w:val="008C4749"/>
    <w:rsid w:val="008D7DAA"/>
    <w:rsid w:val="0090063B"/>
    <w:rsid w:val="00976826"/>
    <w:rsid w:val="00990AEA"/>
    <w:rsid w:val="009974C8"/>
    <w:rsid w:val="009B162D"/>
    <w:rsid w:val="009C0F7E"/>
    <w:rsid w:val="009C1E98"/>
    <w:rsid w:val="009C4177"/>
    <w:rsid w:val="009E31F8"/>
    <w:rsid w:val="00A00B18"/>
    <w:rsid w:val="00A03063"/>
    <w:rsid w:val="00A41E9F"/>
    <w:rsid w:val="00A5290A"/>
    <w:rsid w:val="00A563C2"/>
    <w:rsid w:val="00A635BF"/>
    <w:rsid w:val="00A847D3"/>
    <w:rsid w:val="00A86DD6"/>
    <w:rsid w:val="00A93A3E"/>
    <w:rsid w:val="00AA234E"/>
    <w:rsid w:val="00AA4B83"/>
    <w:rsid w:val="00AC0EDD"/>
    <w:rsid w:val="00AC4210"/>
    <w:rsid w:val="00AE5724"/>
    <w:rsid w:val="00AE7DD8"/>
    <w:rsid w:val="00B17A13"/>
    <w:rsid w:val="00B2137E"/>
    <w:rsid w:val="00B473FC"/>
    <w:rsid w:val="00B67B9A"/>
    <w:rsid w:val="00B84BDF"/>
    <w:rsid w:val="00B872C0"/>
    <w:rsid w:val="00B9294D"/>
    <w:rsid w:val="00B92E3D"/>
    <w:rsid w:val="00B9474D"/>
    <w:rsid w:val="00BA4DB8"/>
    <w:rsid w:val="00BC744D"/>
    <w:rsid w:val="00BE4BD9"/>
    <w:rsid w:val="00C02A47"/>
    <w:rsid w:val="00C052D4"/>
    <w:rsid w:val="00C07B7A"/>
    <w:rsid w:val="00C91D54"/>
    <w:rsid w:val="00CB4F2C"/>
    <w:rsid w:val="00CB65B6"/>
    <w:rsid w:val="00CC2F9A"/>
    <w:rsid w:val="00CD6383"/>
    <w:rsid w:val="00CF3569"/>
    <w:rsid w:val="00CF69A3"/>
    <w:rsid w:val="00D00991"/>
    <w:rsid w:val="00D10F34"/>
    <w:rsid w:val="00D77EA8"/>
    <w:rsid w:val="00D87F1B"/>
    <w:rsid w:val="00D96013"/>
    <w:rsid w:val="00DA1117"/>
    <w:rsid w:val="00DD4191"/>
    <w:rsid w:val="00DF5859"/>
    <w:rsid w:val="00E03010"/>
    <w:rsid w:val="00E258F6"/>
    <w:rsid w:val="00E3306F"/>
    <w:rsid w:val="00E579E8"/>
    <w:rsid w:val="00EB1658"/>
    <w:rsid w:val="00EC4999"/>
    <w:rsid w:val="00ED0FAA"/>
    <w:rsid w:val="00F07FBD"/>
    <w:rsid w:val="00F2263B"/>
    <w:rsid w:val="00F52B93"/>
    <w:rsid w:val="00F675F4"/>
    <w:rsid w:val="00F81607"/>
    <w:rsid w:val="00F95E4C"/>
    <w:rsid w:val="00FD6722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2DDE-2CDC-4798-A8B4-EE23CB4B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2020-03-17T09:04:00Z</cp:lastPrinted>
  <dcterms:created xsi:type="dcterms:W3CDTF">2020-04-17T02:46:00Z</dcterms:created>
  <dcterms:modified xsi:type="dcterms:W3CDTF">2020-04-17T02:46:00Z</dcterms:modified>
</cp:coreProperties>
</file>