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1C749C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324231">
        <w:rPr>
          <w:rFonts w:ascii="Times New Roman" w:hAnsi="Times New Roman"/>
          <w:b/>
          <w:sz w:val="24"/>
          <w:szCs w:val="24"/>
        </w:rPr>
        <w:t>1</w:t>
      </w:r>
      <w:r w:rsidR="001C749C">
        <w:rPr>
          <w:rFonts w:ascii="Times New Roman" w:hAnsi="Times New Roman"/>
          <w:b/>
          <w:sz w:val="24"/>
          <w:szCs w:val="24"/>
          <w:lang w:val="kk-KZ"/>
        </w:rPr>
        <w:t>3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1C749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C749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</w:t>
      </w:r>
      <w:bookmarkStart w:id="0" w:name="_GoBack"/>
      <w:bookmarkEnd w:id="0"/>
      <w:r w:rsidRPr="00393C33">
        <w:rPr>
          <w:rFonts w:ascii="Times New Roman" w:hAnsi="Times New Roman"/>
          <w:b/>
          <w:sz w:val="24"/>
          <w:szCs w:val="24"/>
        </w:rPr>
        <w:t xml:space="preserve">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1C749C">
        <w:rPr>
          <w:rFonts w:ascii="Times New Roman" w:hAnsi="Times New Roman"/>
          <w:b/>
          <w:sz w:val="24"/>
          <w:szCs w:val="24"/>
          <w:lang w:val="kk-KZ"/>
        </w:rPr>
        <w:t>2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C749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1C749C">
        <w:rPr>
          <w:rFonts w:ascii="Times New Roman" w:hAnsi="Times New Roman"/>
          <w:b/>
          <w:sz w:val="24"/>
          <w:szCs w:val="24"/>
          <w:lang w:val="kk-KZ"/>
        </w:rPr>
        <w:t>8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24231">
        <w:rPr>
          <w:rFonts w:ascii="Times New Roman" w:hAnsi="Times New Roman"/>
          <w:b/>
          <w:color w:val="000000" w:themeColor="text1"/>
          <w:sz w:val="24"/>
          <w:szCs w:val="24"/>
        </w:rPr>
        <w:t>феврал</w:t>
      </w:r>
      <w:r w:rsidR="00B536B5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7727B8" w:rsidRPr="007727B8">
        <w:rPr>
          <w:rFonts w:ascii="Times New Roman" w:hAnsi="Times New Roman"/>
          <w:b/>
          <w:sz w:val="24"/>
          <w:szCs w:val="24"/>
        </w:rPr>
        <w:t>17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1C749C">
        <w:rPr>
          <w:rFonts w:ascii="Times New Roman" w:hAnsi="Times New Roman"/>
          <w:b/>
          <w:sz w:val="24"/>
          <w:szCs w:val="24"/>
          <w:lang w:val="kk-KZ"/>
        </w:rPr>
        <w:t>9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2423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proofErr w:type="spellEnd"/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c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proofErr w:type="spellStart"/>
      <w:r w:rsidR="00FE2212">
        <w:rPr>
          <w:rFonts w:ascii="Times New Roman" w:hAnsi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 xml:space="preserve">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B867CC" w:rsidTr="00E141E2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E141E2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1C749C" w:rsidRPr="00595AF1" w:rsidTr="00807C99">
        <w:trPr>
          <w:trHeight w:val="4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807C99" w:rsidRDefault="001C749C" w:rsidP="00807C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1C749C" w:rsidRDefault="001C749C" w:rsidP="001C749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Y-коннектор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1C749C" w:rsidRDefault="001C749C" w:rsidP="001C749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Y-коннектор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гемостатический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 - Y-коннектор - Корпус Y-коннектора изготовлен из поликарбоната, обладает 4 основными частями, изготовленными из поликарбоната - вращательное устройство, корпус, верхнее покрытие. Внутри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гемостатического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клапана имеется спираль 9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полной и частичной активации и деактивации . Изготовлен из медицинского силикона Med4930. Общая ширина устройства - 1.46" или 37мм и 3.39" или 86мм в длину. Устройство должно обладать вторичным просветом с канюлей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Люэра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>, сформированной на основном просвете в дистальной части. Сварка швов между внутренними частями выполняется с помощью ультразвуковой машины. Устройство оснащено кнопкой дезактивации, которая закрывает клапан в основном просвете полностью одним нажатием по типу "клик". На проксимальном конце покрытия расположены зажимные полосы по всему радиусу покрытия, чтобы гарантировать надежный захват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152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8 500,00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1 292 000,00</w:t>
            </w:r>
          </w:p>
        </w:tc>
      </w:tr>
      <w:tr w:rsidR="001C749C" w:rsidRPr="00595AF1" w:rsidTr="00595AF1">
        <w:trPr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807C99" w:rsidRDefault="001C749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2722FC" w:rsidRDefault="002722FC" w:rsidP="001C749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22FC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="001C749C" w:rsidRPr="002722FC">
              <w:rPr>
                <w:rFonts w:ascii="Times New Roman" w:hAnsi="Times New Roman"/>
                <w:sz w:val="20"/>
                <w:szCs w:val="20"/>
              </w:rPr>
              <w:t>атетер</w:t>
            </w:r>
            <w:proofErr w:type="spellEnd"/>
            <w:r w:rsidR="001C749C" w:rsidRPr="002722FC">
              <w:rPr>
                <w:rFonts w:ascii="Times New Roman" w:hAnsi="Times New Roman"/>
                <w:sz w:val="20"/>
                <w:szCs w:val="20"/>
              </w:rPr>
              <w:t xml:space="preserve"> G20 </w:t>
            </w:r>
            <w:r w:rsidRPr="002722FC">
              <w:rPr>
                <w:rFonts w:ascii="Times New Roman" w:hAnsi="Times New Roman"/>
                <w:sz w:val="18"/>
                <w:szCs w:val="18"/>
                <w:lang w:val="kk-KZ"/>
              </w:rPr>
              <w:t>(1,1*33мм)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Default="001C749C" w:rsidP="002722F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канюля/катетер для 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>/венного периферического доступа G 20</w:t>
            </w:r>
          </w:p>
          <w:p w:rsidR="002722FC" w:rsidRPr="002722FC" w:rsidRDefault="002722FC" w:rsidP="002722F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Инфузионная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канюля с инъекционным клапаном для периферического внутривенного доступа G20, внешний диаметр канюли 1,1 мм, длина 33 мм.   Внутривенный катетер с инъекционным портом для длительного применения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Термоэластичность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атромбогенность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отсутствие влияния на биологические ткани полиуретана позволяют увеличить длительность катетеризации вен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Ч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етыре встроенные в стенку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-контрастные полоски Тонкостенная трубка обеспечивает высокую скорость потока Особая форма кончика катетера и иглы уменьшают пункционную травму Самозакрывающийся инъекционный клапан Фиксирующие крылья с наклоном, компенсирующим угол пункции Удобный захват для выполнения пункции одной рукой Гидрофобная заглушка Съемный винтовой колпачок Герметичное винтовое соединение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9 084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188,32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1 710 698,88</w:t>
            </w:r>
          </w:p>
        </w:tc>
      </w:tr>
      <w:tr w:rsidR="001C749C" w:rsidRPr="00595AF1" w:rsidTr="00A810D1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807C99" w:rsidRDefault="001C749C" w:rsidP="00DE721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1C749C" w:rsidRDefault="001C749C" w:rsidP="001C749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Игла спинальная 25G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90mm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1C749C" w:rsidRDefault="001C749C" w:rsidP="002722F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Игла для спинальной анестезии G25 </w:t>
            </w:r>
            <w:proofErr w:type="spellStart"/>
            <w:r w:rsidR="002722FC" w:rsidRPr="001C749C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="002722FC" w:rsidRPr="001C749C">
              <w:rPr>
                <w:rFonts w:ascii="Times New Roman" w:hAnsi="Times New Roman"/>
                <w:sz w:val="20"/>
                <w:szCs w:val="20"/>
              </w:rPr>
              <w:t xml:space="preserve"> 90mm </w:t>
            </w:r>
            <w:r w:rsidRPr="001C749C">
              <w:rPr>
                <w:rFonts w:ascii="Times New Roman" w:hAnsi="Times New Roman"/>
                <w:sz w:val="20"/>
                <w:szCs w:val="20"/>
              </w:rPr>
              <w:t xml:space="preserve"> (0,53х88мм)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520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2 996,00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1 557 920,00</w:t>
            </w:r>
          </w:p>
        </w:tc>
      </w:tr>
      <w:tr w:rsidR="001C749C" w:rsidRPr="00B867CC" w:rsidTr="00A810D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807C99" w:rsidRDefault="001C749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1C749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Индивидуальный процедурный комплект для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нейроинтервенционных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операций на голове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BE" w:rsidRPr="00BE55BE" w:rsidRDefault="001C749C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85C">
              <w:rPr>
                <w:rFonts w:ascii="Times New Roman" w:hAnsi="Times New Roman"/>
                <w:sz w:val="20"/>
                <w:szCs w:val="20"/>
              </w:rPr>
              <w:t xml:space="preserve">Индивидуальный процедурный комплект СРТ с принадлежностями </w:t>
            </w:r>
            <w:proofErr w:type="spellStart"/>
            <w:r w:rsidRPr="0094485C">
              <w:rPr>
                <w:rFonts w:ascii="Times New Roman" w:hAnsi="Times New Roman"/>
                <w:sz w:val="20"/>
                <w:szCs w:val="20"/>
              </w:rPr>
              <w:t>нейроинт</w:t>
            </w:r>
            <w:r w:rsidR="00D04CFC" w:rsidRPr="0094485C">
              <w:rPr>
                <w:rFonts w:ascii="Times New Roman" w:hAnsi="Times New Roman"/>
                <w:sz w:val="20"/>
                <w:szCs w:val="20"/>
              </w:rPr>
              <w:t>ервенционных</w:t>
            </w:r>
            <w:proofErr w:type="spellEnd"/>
            <w:r w:rsidR="00D04CFC" w:rsidRPr="0094485C">
              <w:rPr>
                <w:rFonts w:ascii="Times New Roman" w:hAnsi="Times New Roman"/>
                <w:sz w:val="20"/>
                <w:szCs w:val="20"/>
              </w:rPr>
              <w:t xml:space="preserve"> операций на голове</w:t>
            </w:r>
            <w:r w:rsidR="0094485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BE55BE" w:rsidRPr="00BE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485C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="009448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остав: </w:t>
            </w:r>
            <w:r w:rsidR="00BE55BE" w:rsidRPr="00BE55BE">
              <w:rPr>
                <w:rFonts w:ascii="Times New Roman" w:hAnsi="Times New Roman"/>
                <w:sz w:val="20"/>
                <w:szCs w:val="20"/>
              </w:rPr>
              <w:t xml:space="preserve">3шт - Перчатки - стерильные, </w:t>
            </w:r>
            <w:proofErr w:type="spellStart"/>
            <w:r w:rsidR="00BE55BE" w:rsidRPr="00BE55BE">
              <w:rPr>
                <w:rFonts w:ascii="Times New Roman" w:hAnsi="Times New Roman"/>
                <w:sz w:val="20"/>
                <w:szCs w:val="20"/>
              </w:rPr>
              <w:t>неопудренные</w:t>
            </w:r>
            <w:proofErr w:type="spellEnd"/>
            <w:r w:rsidR="00BE55BE" w:rsidRPr="00BE55BE">
              <w:rPr>
                <w:rFonts w:ascii="Times New Roman" w:hAnsi="Times New Roman"/>
                <w:sz w:val="20"/>
                <w:szCs w:val="20"/>
              </w:rPr>
              <w:t>, для рук №7,5</w:t>
            </w:r>
          </w:p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 xml:space="preserve">1шт - Перчатки - стерильные,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неопудренные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>, для рук №8</w:t>
            </w:r>
          </w:p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 xml:space="preserve">1шт - Скальпель - Ручка скальпеля: Изготовлена из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акрилонитрилбутадиенстирол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материала, общая длина - 121.2мм. Ручка скальпеля должна иметь очертание захвата для пальца, чтобы обеспечить лучшую управляемость и манипуляции. Цвет скальпеля синий. Общая длина рукоятки и захвата для пальца должна составлять 31.5мм в длину. Угол полосы захвата пальцем составляет 30 градусов. Лезвие: изготовлено из нержавеющей стали с допустимой твердостью, толщина 0.39мм. Пластиковый кожух скальпеля изготовлен из полиэтилена низкой плотности. Скальпель №11</w:t>
            </w:r>
          </w:p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 xml:space="preserve">1шт - Игла пункционная  - диаметр составляет 1,25 мм или 18Га, длина  2.75 " или 6.98мм. Канюля из нержавеющей стали, концентратор: изготовлен из акрилового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мультиполимерного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материала, прозрачного цвета, квадратной формы с одной стороны, с кончиком для упора большого пальца и треугольной формы с другой стороны. Защитный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чколпачок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для иглы изготовлен из прозрачного полиэтилена низкой плотности</w:t>
            </w:r>
            <w:proofErr w:type="gramStart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Скос иглы представлен с помощью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электрополированного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наконечника. Минимальный внутренний диаметр концентратора составляет 0,0395 ". Максимальный диаметр проводника - 0,380 " Игла размером 18 G</w:t>
            </w:r>
          </w:p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 xml:space="preserve">6шт - Игла - игла из нержавеющей стали, конический концентратор с соединением замка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Люэра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, изготовленный из полипропилена, 20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Ga</w:t>
            </w:r>
            <w:proofErr w:type="spellEnd"/>
          </w:p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>2шт - Шприц 3 мл -  объем: 3 мл</w:t>
            </w:r>
            <w:proofErr w:type="gramStart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стерильно, с наконечником тип крепления иглы к цилиндру шприца, при котором игла вкручивается в шприц</w:t>
            </w:r>
          </w:p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>2шт - Шприц 10 мл -  объем: 10 мл</w:t>
            </w:r>
            <w:proofErr w:type="gramStart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стерильно, с наконечником тип крепления иглы к цилиндру шприца, при котором игла вкручивается в шприц</w:t>
            </w:r>
          </w:p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>2шт - Шприц 20 мл -  объем: 20 мл</w:t>
            </w:r>
            <w:proofErr w:type="gramStart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стерильно, с наконечником тип крепления иглы к цилиндру шприца, при котором игла вкручивается в шприц</w:t>
            </w:r>
          </w:p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>1шт - Шприц 5 м</w:t>
            </w:r>
            <w:proofErr w:type="gramStart"/>
            <w:r w:rsidRPr="00BE55BE">
              <w:rPr>
                <w:rFonts w:ascii="Times New Roman" w:hAnsi="Times New Roman"/>
                <w:sz w:val="20"/>
                <w:szCs w:val="20"/>
              </w:rPr>
              <w:t>л-</w:t>
            </w:r>
            <w:proofErr w:type="gram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шприц объемом 5 мл - тип крепления иглы к цилиндру шприца, при котором игла вкручивается в шприц</w:t>
            </w:r>
          </w:p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 xml:space="preserve">1шт - Чаша - 250мл - 100%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полипропилен</w:t>
            </w:r>
            <w:proofErr w:type="gramStart"/>
            <w:r w:rsidRPr="00BE55BE"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 w:rsidRPr="00BE55BE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содержит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диэтилгексилфталат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>, не содержит латекс, не содержит поливинилхлорид. Общий объем 250мл. Высота 5,15см. Диаметр 10,3см. Цвет продукт синий.</w:t>
            </w:r>
          </w:p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 xml:space="preserve">1шт - Чаша - 500 мл - 100%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Полипропилен</w:t>
            </w:r>
            <w:proofErr w:type="gramStart"/>
            <w:r w:rsidRPr="00BE55BE"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 w:rsidRPr="00BE55BE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содержит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диэтилгексилфталат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>, не содержит латекс, не содержит поливинилхлорид. Общий диаметр 4,034 "или 10.2см, общая высота 2,17" или 5,55см. Высота верхней границы составляет 0,230 "или 0.58см. Цвет продукта синий.</w:t>
            </w:r>
          </w:p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 xml:space="preserve">2шт - Чаша - 120мл - 100% полипропилен, не содержит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диэтилгексилфталат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, не содержит латекс, не содержит поливинилхлорид. Общий объем 120мл. </w:t>
            </w:r>
            <w:proofErr w:type="gramStart"/>
            <w:r w:rsidRPr="00BE55BE">
              <w:rPr>
                <w:rFonts w:ascii="Times New Roman" w:hAnsi="Times New Roman"/>
                <w:sz w:val="20"/>
                <w:szCs w:val="20"/>
              </w:rPr>
              <w:t>Диаметре</w:t>
            </w:r>
            <w:proofErr w:type="gram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8,4см, высота 3см. Цвет продукта прозрачный.</w:t>
            </w:r>
          </w:p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 xml:space="preserve">1шт - Краник трехходовой - Трехходовой краник  высокого давления с вращающейся задвижкой, достигает  до 1200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psi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давления. Тип: (папа/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луер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лок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) Корпус сделан из прочного материала поликарбонат, ручка сделана из термопластичного материала. Вращающийся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механиз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смазан силиконовой </w:t>
            </w:r>
            <w:proofErr w:type="gramStart"/>
            <w:r w:rsidRPr="00BE55BE">
              <w:rPr>
                <w:rFonts w:ascii="Times New Roman" w:hAnsi="Times New Roman"/>
                <w:sz w:val="20"/>
                <w:szCs w:val="20"/>
              </w:rPr>
              <w:t>жидкостью</w:t>
            </w:r>
            <w:proofErr w:type="gram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чтобы избежать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застревание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. Общая ширина 1.3" , общая высота 1.108", общая длина 2.175". Диаметр отверстия 1.80 мм или 0.071 дюйм. Длина ручки 0.827". Форма корпуса: Под рукояткой имеется 2 держателя для захвата пальца для обеспечения прочного захвата с противоположной стороны ручки. Вся длина корпуса имеет поддерживающую форму кривизны. Устройство предназначено для обеспечения доставки жидкости высокого давления и объема через все устройство с дополнительной опцией: закрытой или полуоткрытой 3 ходовыми проходами. </w:t>
            </w:r>
          </w:p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>1шт - Ножницы - стандартные ножницы 12,5 см</w:t>
            </w:r>
            <w:proofErr w:type="gramStart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металлические</w:t>
            </w:r>
          </w:p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 xml:space="preserve">4шт - Полотенце - белого цвета, сделано из 100% материала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Kaycel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(целлюлоза), размер: 32х36см.</w:t>
            </w:r>
          </w:p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>3шт - Халат одноразовый - халат изготовлен из композитного нетканого материала плотностью не ниже 68 .Размеры: По линии горловины - 22см в длину, центр - передняя часть от линии горловины до линии подгибки - 139.5см, общая ширина в развёрнутом виде - 165см, длина от самой высокой точки плеча до низа - 148см, длина рукава до верхней точки плеча - 84см, ширина груди - 70см, длина манжеты - 7см*5см, прорезиненный материал. Размер: XL, халат идет с  полотенцем</w:t>
            </w:r>
          </w:p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>2шт - Покрытие защитное - изготовлен из 100см * 102см * 0,05мм полиэтиленовой плёнки. Ширина покрытия составляет 100 см, длина - 102 см. Покрытие обладает 2 положениями - расслабленным и растянутым. Диаметр отверстия в расслабленном состоянии составляет 38-41см в ширину, а диаметр отверстия в растянутом состоянии составляет 100-103см в ширину. Резиновые ленты представлены на отверстии, чтобы обеспечить помощь в прикреплении и расположении покрытия.</w:t>
            </w:r>
          </w:p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 xml:space="preserve">1шт - Простыня одноразовая - простыня ангиографическая с 4-мя отверстиями </w:t>
            </w:r>
            <w:proofErr w:type="gramStart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2 отверстия радиального доступа, 2 отверстия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феморального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доступа). Покрытие сделано из 4-х материалов: усиленный нетканый материал, абсорбирующий материал</w:t>
            </w:r>
            <w:proofErr w:type="gramStart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Полиэтилен, медицинские клеевые полоски на клейкой части. Простыня с абсорбирующей степенью </w:t>
            </w:r>
            <w:proofErr w:type="gramStart"/>
            <w:r w:rsidRPr="00BE55BE">
              <w:rPr>
                <w:rFonts w:ascii="Times New Roman" w:hAnsi="Times New Roman"/>
                <w:sz w:val="20"/>
                <w:szCs w:val="20"/>
              </w:rPr>
              <w:t>выше</w:t>
            </w:r>
            <w:proofErr w:type="gram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чем 400%. Общая ширина простыни 280 см, длина 330 см. Покрытие должно иметь как минимум 2 маркера головной части, напечатанных возле отверстий для пункции. С двух сторон покрытие должно иметь полиэтиленовые края размерами: 70х330 см. Полиэтиленовые края не прошиты, а соединены процедурой термического склеивания и сварки, чтобы защитить структуру простыни и обеспечить стабильную прочность частей материала. Длина не оперативного поля с ножной стороны 153х140 см, от головной части 27х140 см, обе не оперативные части сделаны </w:t>
            </w:r>
            <w:proofErr w:type="gramStart"/>
            <w:r w:rsidRPr="00BE55BE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E55BE">
              <w:rPr>
                <w:rFonts w:ascii="Times New Roman" w:hAnsi="Times New Roman"/>
                <w:sz w:val="20"/>
                <w:szCs w:val="20"/>
              </w:rPr>
              <w:t>усиленный</w:t>
            </w:r>
            <w:proofErr w:type="gram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нетканый материал отталкивающего воду материала. Оперативное поле изготовлено из абсорбирующего материала. </w:t>
            </w:r>
            <w:proofErr w:type="gramStart"/>
            <w:r w:rsidRPr="00BE55BE">
              <w:rPr>
                <w:rFonts w:ascii="Times New Roman" w:hAnsi="Times New Roman"/>
                <w:sz w:val="20"/>
                <w:szCs w:val="20"/>
              </w:rPr>
              <w:t>На оперативном поле имеются 4-ре отверстия с прозрачными клеящимися полосками из медицинского клея, 2 малых отверстия на дополнительном адгезивном поле размером 15х19 см с овальной формы отверстием диаметром 6,2 см. Большие 2 отверстия находятся на дополнительном адгезивном поле 15х19 см с овальными отверстиями размером 13х7 см. 2 малых отверстия должны находится на расстоянии 76 см друг от друга.</w:t>
            </w:r>
            <w:proofErr w:type="gram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На левой и правой стороне полиэтиленового края находятся склеенные и запрессованные соединительные полоски общей шириной 10 см от левого и правого краев общей длинной 330 см. Расстояние от верхнего края простыни до центра отверстий 75 см. Все 4-ре отверстия располагаются по одной горизонтальной линии в 75 см от верхнего края. Простыня не протекает, также на простыне с двух сторон имеется барьерный край/ загиб на пленке против стекания жидкости размером 10 см.  </w:t>
            </w:r>
          </w:p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 xml:space="preserve">1шт - Покрытие защитное - общая ширина 80 +/- 1.5 см, длина 140 +/- 2 см. Покрытие сделано из 2-х видов материала: водонепроницаемый и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водопоглащающий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. Сторона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водопоглащающего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материала составляет 77 см в высоту и 61 см в ширину. </w:t>
            </w:r>
            <w:proofErr w:type="gramStart"/>
            <w:r w:rsidRPr="00BE55BE">
              <w:rPr>
                <w:rFonts w:ascii="Times New Roman" w:hAnsi="Times New Roman"/>
                <w:sz w:val="20"/>
                <w:szCs w:val="20"/>
              </w:rPr>
              <w:t>Материалы: полиэтилен -  0.065 мм и  нетканого усиленного материала с уровнем поглощения/всасывания больше чем 400%. Идет в сложенном виде впитывающая сторона остается внутри (сложенная наизнанку) с внутренней стороны для легкой и защищенного стерильного покрытия поверхности.</w:t>
            </w:r>
            <w:proofErr w:type="gram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Покрытие предназначено на инструментальный хирургический стол "гусь"</w:t>
            </w:r>
          </w:p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 xml:space="preserve">1шт - Пластырь - пластырь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тегадерм</w:t>
            </w:r>
            <w:proofErr w:type="spellEnd"/>
            <w:proofErr w:type="gramStart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размер: . Прозрачная пленочная наклейка для фиксации катетеров. Материал: полупроницаемая полиуретановая пленка,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адгезив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: безвредный для кожи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полиакрилат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. Размер 10х11,5 см -/+ 5 см </w:t>
            </w:r>
          </w:p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 xml:space="preserve">40шт - Салфетки 10х10 см - Стерильная марля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впитываемостью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выше, чем 550%. Внутренние слои - 1. Без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диэтилгексилфталат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>, 10 * 10 см общий размер 12 слоёв!</w:t>
            </w:r>
          </w:p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>10шт - Салфетки размером (</w:t>
            </w:r>
            <w:proofErr w:type="gramStart"/>
            <w:r w:rsidRPr="00BE55B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):45х45 - Хирургические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рентгенконтрастные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салфетки сделаны из 100% хлопкового волокна степень впитывания меньше чем 10% от плотности ткани. Размеры: 40х40 см салфетки сложены 8 раз для того чтобы создать 4-х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слойный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впитывающий продукт. В нем есть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рентгеноконтрастная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полоска синего цвета, каждые 5 губок связаны вместе для легкого подсчета.</w:t>
            </w:r>
          </w:p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 xml:space="preserve">1шт - Лоток - Глубокий лоток голубого цвета, изготовленный из полипропилена. Общая ширина 25см, длина - 28см, и 5см в высоту. </w:t>
            </w:r>
          </w:p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 xml:space="preserve">2шт -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Инфузионная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система - не вентилируемая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инфузионная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система </w:t>
            </w:r>
            <w:proofErr w:type="gramStart"/>
            <w:r w:rsidRPr="00BE55BE">
              <w:rPr>
                <w:rFonts w:ascii="Times New Roman" w:hAnsi="Times New Roman"/>
                <w:sz w:val="20"/>
                <w:szCs w:val="20"/>
              </w:rPr>
              <w:t>сделан</w:t>
            </w:r>
            <w:proofErr w:type="gram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для поставки жидкости с мягкой упаковки, таких как натрия хлорида 09% или складной упаковки, к пациенту. Не вентилируемая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инфузионная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система не может использоваться со стеклянной банкой. Система сделана из 3-х составляющих: шип (острие), линия и роликовый зажим. Шип является одноходовым шипом со скоростью потока 20 капель примерно на 1 куб. идет встроенный к 60 мм длиной - капающей камере, общая длина шипа с камерой - 129.9 мм. Камера сделана из мягкого поливинилхлорида, не содержит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диэтилгексилфталат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. Камера имеет встроенный фильтр в 15 микрон, сделан из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акрилонитрилбутадиенстирол+нейлон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мембраны. Линия (трубка) сделана из поливинилхлорида, не содержит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диэтилгексилфталат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-  материал, с внутренним диаметром 2.9 мм и общим диаметром 4.1 мм.</w:t>
            </w:r>
            <w:proofErr w:type="gramStart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Общая длина - 200 см к дистальной части которая имеет крепление тип "вкручивания" -  коннектор к пациенту. Цвет: прозрачный. Роликовый зажим сделан из полистирола, белого цвета.</w:t>
            </w:r>
          </w:p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 xml:space="preserve">1шт - Покрытие: защитное на стол - общий размер скатерти - 137х150см. Покрытие разделено на 3 части - 2 части - полиэтиленовые, водоотталкивающие, и 1 часть -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водовпитывающий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, впитывающая воду.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Водооталкивающий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материал, и впитывающий воду - материал - с коэффициентом поглощения более чем 300%, часть, впитывающая воду - 150см длиной и 61см в ширину. Скатерть имеет клеевой маркер на нижней стороне.</w:t>
            </w:r>
          </w:p>
          <w:p w:rsidR="001C749C" w:rsidRPr="00D04CFC" w:rsidRDefault="00BE55BE" w:rsidP="00BE55BE">
            <w:pPr>
              <w:pStyle w:val="a4"/>
              <w:jc w:val="both"/>
              <w:rPr>
                <w:lang w:val="kk-KZ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 xml:space="preserve">Метод стерилизации: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Этиленоксидом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29 800,00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3 933 600,00</w:t>
            </w:r>
          </w:p>
        </w:tc>
      </w:tr>
      <w:tr w:rsidR="001C749C" w:rsidRPr="00B867CC" w:rsidTr="005C35A0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807C99" w:rsidRDefault="001C749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D04CF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Интродьюсер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в комплекте с иглой для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феморального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доступа, 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удлинённый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D04CF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Интродьюсер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. Основные требования к товару. Назначение для обеспечения доступа в сосуд. Основные функциональные требования, технические характеристики Возможность выбора диаметра 5, 6, 7, 8, 9, 10, 11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.  Возможность выбора длины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интродьюсеров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длиной 16, 25 см. Возможность выбора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интродьюсеров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ренгенконтрастной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меткой. Возможность выбора цветовой кодировки диаметра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интродьюсера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.  Возможность выбора двухслойной стенки, с внешним слоем из ETFE.  Возможность выбора в комплекте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дилятатора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гемостатического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клапана. Наличие защитного механизма на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дилятаторе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, препятствующего самопроизвольному открытию. Возможность выбора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интродьюсеров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с гидрофильным покрытием. Наличие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интродьюсеров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с иглой в комплекте 20 G x 32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mm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, 20 G x 51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mm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, 18 G x 64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mm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, 18 G x 70mm. Наличие возможности выбора комплекта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интродьюсера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с металлической иглой или иглой-катетером. Наличие выбора диаметра мини проводника: 0,021", 0,025", 0,035", 0,038".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21 930,00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109 650,00</w:t>
            </w:r>
          </w:p>
        </w:tc>
      </w:tr>
      <w:tr w:rsidR="001C749C" w:rsidRPr="00B867CC" w:rsidTr="005C35A0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807C99" w:rsidRDefault="001C749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D04CF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Каротидный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D04CF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Самораскрывающийся каротидный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с устойчивой защитой от тромбоэмболии, двухслойная сетчатая конструкция </w:t>
            </w:r>
            <w:r w:rsidRPr="001C749C">
              <w:rPr>
                <w:rFonts w:ascii="Times New Roman" w:hAnsi="Times New Roman"/>
                <w:sz w:val="20"/>
                <w:szCs w:val="20"/>
              </w:rPr>
              <w:br/>
              <w:t xml:space="preserve"> • Совместим с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микрокатетерами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0,014”</w:t>
            </w:r>
            <w:r w:rsidRPr="001C749C">
              <w:rPr>
                <w:rFonts w:ascii="Times New Roman" w:hAnsi="Times New Roman"/>
                <w:sz w:val="20"/>
                <w:szCs w:val="20"/>
              </w:rPr>
              <w:br/>
              <w:t xml:space="preserve"> • Диаметр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от 5 мм до 10 мм</w:t>
            </w:r>
            <w:r w:rsidRPr="001C749C">
              <w:rPr>
                <w:rFonts w:ascii="Times New Roman" w:hAnsi="Times New Roman"/>
                <w:sz w:val="20"/>
                <w:szCs w:val="20"/>
              </w:rPr>
              <w:br/>
              <w:t xml:space="preserve"> • Профиль – 1,67 мм</w:t>
            </w:r>
            <w:r w:rsidRPr="001C749C">
              <w:rPr>
                <w:rFonts w:ascii="Times New Roman" w:hAnsi="Times New Roman"/>
                <w:sz w:val="20"/>
                <w:szCs w:val="20"/>
              </w:rPr>
              <w:br/>
              <w:t xml:space="preserve"> • Площадь открытой ячейки около 0.3 мм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br/>
              <w:t xml:space="preserve"> • Рабочая длина – 16 - 40 мм</w:t>
            </w:r>
            <w:r w:rsidRPr="001C749C">
              <w:rPr>
                <w:rFonts w:ascii="Times New Roman" w:hAnsi="Times New Roman"/>
                <w:sz w:val="20"/>
                <w:szCs w:val="20"/>
              </w:rPr>
              <w:br/>
              <w:t xml:space="preserve"> • Длина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(общая) – 22 - 47 мм</w:t>
            </w:r>
            <w:r w:rsidRPr="001C749C">
              <w:rPr>
                <w:rFonts w:ascii="Times New Roman" w:hAnsi="Times New Roman"/>
                <w:sz w:val="20"/>
                <w:szCs w:val="20"/>
              </w:rPr>
              <w:br/>
              <w:t xml:space="preserve"> • Возможна репозиция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при раскрытии до 50% его полной длины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738 800,00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5 171 600,00</w:t>
            </w:r>
          </w:p>
        </w:tc>
      </w:tr>
      <w:tr w:rsidR="001C749C" w:rsidRPr="00B867CC" w:rsidTr="00BA07A8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807C99" w:rsidRDefault="001C749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D04CF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>Катетер б</w:t>
            </w:r>
            <w:r w:rsidR="00D04CFC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ллонный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оклюзионный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1C749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Монорельсовый баллонный катетер предназначен для проведения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ассистенции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при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эмболизации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аневризм, временной 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тест-окклюзии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, при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вазоспазме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. Совместимость с проводником 0.014". Баллон имеет две степени жесткости: мягкий и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супермягкий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. Баллон смонтирован на катетере длиной 150 см. Мягкий имеет диаметры: 3, 4 и 5 мм и длины: 10, 15, 20, 30 мм;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супермягкий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имеет диаметры: 3, 4 и 7 мм и длины 5, 7, 10, 15 мм. Профиль баллона не более 2.7F. Внешняя поверхность катетера изготовлена из полиамида и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пебакса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, внутренняя имеет плетеную структуру, дистальная часть катетера находящаяся в соответствии с баллоном имеет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микронасечки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для лучшего прохождения контраста и быстрого времени сдувания баллона. Длина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атравматичного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кончика катетера 3,25 мм. Минимальный внутренний диаметр проводникового катетера: 0,053” (1,35 мм). Проксимальный диаметр катетера не более 2.8 F, дистальный - 2.7 F. Время раздувания баллона: 3 сек., время сдувания: 2 сек. Катетер имеет 2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рентгеноконтрастных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маркера. Имеется гидрофильное покрытие, уменьшающее трение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417 000,00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1 251 000,00</w:t>
            </w:r>
          </w:p>
        </w:tc>
      </w:tr>
      <w:tr w:rsidR="001C749C" w:rsidRPr="00B867CC" w:rsidTr="00BA07A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807C99" w:rsidRDefault="001C749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1C749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Катетер Уретральный, без баллона, наконечник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Тимана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№18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1C749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Уретральный катетер без баллона из поливинилхлорида. 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Прозрачный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, с воронкой для соединения с мочеприемником. Тип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Тимана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, асептический твердый наконечник. 2 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дренажных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отверстия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расположеных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в шахматном порядке. Размер 18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Ch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. Длина 40см. Не содержит латекса. Размер соответствует цветовому коду. 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Стерильный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, для одноразового использования.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167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818,55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136 697,85</w:t>
            </w:r>
          </w:p>
        </w:tc>
      </w:tr>
      <w:tr w:rsidR="001C749C" w:rsidRPr="00B867CC" w:rsidTr="00BA07A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807C99" w:rsidRDefault="001C749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F71A6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Микрокатетер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A6C" w:rsidRDefault="001C749C" w:rsidP="00F71A6C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>• Усиленный катетер, состоящий из 7 сегментов</w:t>
            </w:r>
          </w:p>
          <w:p w:rsidR="00F71A6C" w:rsidRDefault="001C749C" w:rsidP="00F71A6C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 •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Атравматично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отполированная дистальная часть катетера</w:t>
            </w:r>
          </w:p>
          <w:p w:rsidR="00F71A6C" w:rsidRDefault="001C749C" w:rsidP="00F71A6C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 • 2 платиновых маркера, позволяющих производить отсоединение спиралей в нужной части</w:t>
            </w:r>
          </w:p>
          <w:p w:rsidR="00F71A6C" w:rsidRDefault="001C749C" w:rsidP="00F71A6C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 • Внешний диаметр 2,4F, внутренний 1,7F, внутренний диаметр 0,017”; диаметр 2,5/2,0F - внутренний диаметр 0,021”; диаметр 3,1/2,6 F - внутренний диаметр 0,027”;</w:t>
            </w:r>
          </w:p>
          <w:p w:rsidR="00F71A6C" w:rsidRDefault="001C749C" w:rsidP="00F71A6C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 • Общая длина 150 см</w:t>
            </w:r>
          </w:p>
          <w:p w:rsidR="001C749C" w:rsidRPr="001C749C" w:rsidRDefault="001C749C" w:rsidP="00F71A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 • 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Доступен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в двух видах: «обычный» и «экстра поддержка»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334 700,00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5 689 900,00</w:t>
            </w:r>
          </w:p>
        </w:tc>
      </w:tr>
      <w:tr w:rsidR="001C749C" w:rsidRPr="00B867CC" w:rsidTr="00BA07A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807C99" w:rsidRDefault="001C749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F71A6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Микропроводник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1A6C" w:rsidRPr="00F71A6C" w:rsidRDefault="001C749C" w:rsidP="00F71A6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>Гибридная технология</w:t>
            </w:r>
            <w:r w:rsidR="00F71A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1A6C" w:rsidRDefault="001C749C" w:rsidP="00F71A6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>Диаметр 0,012” у дистальной и 0,014” у проксимальной части</w:t>
            </w:r>
          </w:p>
          <w:p w:rsidR="00F71A6C" w:rsidRDefault="001C749C" w:rsidP="00F71A6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Внутренняя часть из стали, в дистальной части из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нитинола</w:t>
            </w:r>
            <w:proofErr w:type="spellEnd"/>
          </w:p>
          <w:p w:rsidR="001C749C" w:rsidRPr="001C749C" w:rsidRDefault="001C749C" w:rsidP="00F71A6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Микрокатетер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общей длиной 200 см,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нитиноловой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частью 60 см, формируемая часть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микропроводника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длиной 1,4 см, протяженность гидрофильного покрытия – 40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197 400,00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3 355 800,00</w:t>
            </w:r>
          </w:p>
        </w:tc>
      </w:tr>
      <w:tr w:rsidR="001C749C" w:rsidRPr="00B867CC" w:rsidTr="00BA07A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807C99" w:rsidRDefault="001C749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1C749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>Мочеприёмник однократного применения прикроватный, стерильный объём 2000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1C749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>Мочеприемник (мешок д/сбора мочи) мешок для сбора мочи одноразовый объемом 2,0 с клапаном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8 144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151,94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1 237 399,36</w:t>
            </w:r>
          </w:p>
        </w:tc>
      </w:tr>
      <w:tr w:rsidR="001C749C" w:rsidRPr="00B867CC" w:rsidTr="00BA07A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807C99" w:rsidRDefault="001C749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1C749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>Набор для спин-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эпид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>нестезии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18G/27G с фиксатором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F71A6C" w:rsidP="001C749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>Набор для спин-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эпид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>нестезии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18G/27G с фиксатором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55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20 713,06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1 139 218,30</w:t>
            </w:r>
          </w:p>
        </w:tc>
      </w:tr>
      <w:tr w:rsidR="001C749C" w:rsidRPr="001C749C" w:rsidTr="00BA07A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807C99" w:rsidRDefault="001C749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BC6D3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>Набор</w:t>
            </w:r>
            <w:r w:rsidRPr="001C749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индефлятора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1C749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Состав: шприц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медфлятор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с давлением не более 30 </w:t>
            </w:r>
            <w:proofErr w:type="spellStart"/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атм</w:t>
            </w:r>
            <w:proofErr w:type="spellEnd"/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по тип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монометра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с дополнительной линией от 15 до 30 см  с многоходовым краником высокого давления. Удобный не прозрачный поршень из поликарбоната, сам шприц от 20 мл до 30 мл с ценой деления в 2 мл, циферблат над углом 45% в максимальной доступности для глаз, с ярким белым циферблатом и черным текстом для четкой визуализации. Манометр имеет три типа ручки: Бочкообразная, Т образная и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крглая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, все виды имеют эргономичный захват и прорезы для работы в мокрой среде, сокращает риск проскальзывания при высоких давлениях. Охват колбы шприца манометра так же имеет два типа рукояти для поддержки во время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индифляции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и дефляции, по сторонам и пистолетного типа так же три вида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спусковы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механизмом горизонтальный для спуска большим пальцем руки и рукояткой для мягкого спуска при помощи всей ладони. У-образный коннектор с гомеостатическим клапаном типа "клик" от 7,5 до 9 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ФР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так же имеет два силиконовые мембраны позволяющие сократить утерю крови во время процедуры по технологии пересечение. Устройство вращения проводника 0014"-0015" и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инстрмент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для ввода 20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Ga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в единой стерильной упаковке плотной прозрачной сверху и бумажной снизу для лучшей визуализации целостности товара. Стерилизован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Этиленоксидом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23 400,00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234 000,00</w:t>
            </w:r>
          </w:p>
        </w:tc>
      </w:tr>
      <w:tr w:rsidR="001C749C" w:rsidRPr="00B867CC" w:rsidTr="00BA07A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807C99" w:rsidRDefault="001C749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BC6D3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Нейроваскулярный направляющий катетер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1C749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Различная жесткость у проксимальной, средней и дистальной части проводникового катетера. Наличие размеров: 4.2, 6-10-шт, 7-3шт, 8-1шт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. Материал катетера: гидрофильное покрытие, – наружный слой – нейлон, средняя часть – уникальная двойная оплетка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Shinka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, внутренний слой – PTFE (политетрафторэтилен), дистальный кончик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рентгенконтрастный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>, у основания протектор соединителя с просветами.</w:t>
            </w:r>
            <w:r w:rsidR="00BC6D3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C749C">
              <w:rPr>
                <w:rFonts w:ascii="Times New Roman" w:hAnsi="Times New Roman"/>
                <w:sz w:val="20"/>
                <w:szCs w:val="20"/>
              </w:rPr>
              <w:t xml:space="preserve">Наличие платиновых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рентгенконтрасных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маркеров. Наличие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атравматичного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кончика. Большой внутренний просвет: для катетера 4.2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- не более 0,043", для катетера 6Fr - не более 0,071",для катетера 7Fr - не более 0,081", для катетера 8Fr - не более 0,090", наличие длин 80, 90, 100, 110 см. Наличие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атравматичного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кончика. Наличие вариаций с 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длинным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интродюсером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4, 5, 6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104 700,00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523 500,00</w:t>
            </w:r>
          </w:p>
        </w:tc>
      </w:tr>
      <w:tr w:rsidR="001C749C" w:rsidRPr="00B867CC" w:rsidTr="00BA07A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807C99" w:rsidRDefault="001C749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BC6D3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Нейроваскулярный проволочный проводник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BC6D3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Микропроводник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нейро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интервенции</w:t>
            </w:r>
            <w:r w:rsidRPr="001C749C">
              <w:rPr>
                <w:rFonts w:ascii="Times New Roman" w:hAnsi="Times New Roman"/>
                <w:sz w:val="20"/>
                <w:szCs w:val="20"/>
              </w:rPr>
              <w:br/>
              <w:t xml:space="preserve"> Диаметр и длина: 0.008” (длина 200, 300 см) ,  0.014" (длина 200 см), 0.018” (длина 200, 300 см).</w:t>
            </w:r>
            <w:r w:rsidRPr="001C749C">
              <w:rPr>
                <w:rFonts w:ascii="Times New Roman" w:hAnsi="Times New Roman"/>
                <w:sz w:val="20"/>
                <w:szCs w:val="20"/>
              </w:rPr>
              <w:br/>
              <w:t xml:space="preserve"> Длина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рентгенконтрастной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части: 3 см, 5 см, 9 см.</w:t>
            </w:r>
            <w:r w:rsidRPr="001C749C">
              <w:rPr>
                <w:rFonts w:ascii="Times New Roman" w:hAnsi="Times New Roman"/>
                <w:sz w:val="20"/>
                <w:szCs w:val="20"/>
              </w:rPr>
              <w:br/>
              <w:t xml:space="preserve"> Материал сердечника: сталь.</w:t>
            </w:r>
            <w:r w:rsidRPr="001C749C">
              <w:rPr>
                <w:rFonts w:ascii="Times New Roman" w:hAnsi="Times New Roman"/>
                <w:sz w:val="20"/>
                <w:szCs w:val="20"/>
              </w:rPr>
              <w:br/>
              <w:t xml:space="preserve"> Наличие технологии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dabble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coil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>.</w:t>
            </w:r>
            <w:r w:rsidRPr="001C749C">
              <w:rPr>
                <w:rFonts w:ascii="Times New Roman" w:hAnsi="Times New Roman"/>
                <w:sz w:val="20"/>
                <w:szCs w:val="20"/>
              </w:rPr>
              <w:br/>
              <w:t xml:space="preserve"> Тип сердечника: конический.</w:t>
            </w:r>
            <w:r w:rsidRPr="001C749C">
              <w:rPr>
                <w:rFonts w:ascii="Times New Roman" w:hAnsi="Times New Roman"/>
                <w:sz w:val="20"/>
                <w:szCs w:val="20"/>
              </w:rPr>
              <w:br/>
              <w:t xml:space="preserve"> Длина оплетки: 9 см, 30 см, 34 см</w:t>
            </w:r>
            <w:r w:rsidRPr="001C749C">
              <w:rPr>
                <w:rFonts w:ascii="Times New Roman" w:hAnsi="Times New Roman"/>
                <w:sz w:val="20"/>
                <w:szCs w:val="20"/>
              </w:rPr>
              <w:br/>
              <w:t xml:space="preserve"> Варианты дистального кончика: наличие прямого,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микрошейпинг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90°, 25°.</w:t>
            </w:r>
            <w:r w:rsidRPr="001C749C">
              <w:rPr>
                <w:rFonts w:ascii="Times New Roman" w:hAnsi="Times New Roman"/>
                <w:sz w:val="20"/>
                <w:szCs w:val="20"/>
              </w:rPr>
              <w:br/>
              <w:t xml:space="preserve"> Варианты покрытия дистальной части: гидрофильное 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>не менее 170 см).</w:t>
            </w:r>
            <w:r w:rsidRPr="001C749C">
              <w:rPr>
                <w:rFonts w:ascii="Times New Roman" w:hAnsi="Times New Roman"/>
                <w:sz w:val="20"/>
                <w:szCs w:val="20"/>
              </w:rPr>
              <w:br/>
              <w:t xml:space="preserve"> Покрытие проксимальной части: при длине 300 см- PTFE.</w:t>
            </w:r>
            <w:r w:rsidRPr="001C749C">
              <w:rPr>
                <w:rFonts w:ascii="Times New Roman" w:hAnsi="Times New Roman"/>
                <w:sz w:val="20"/>
                <w:szCs w:val="20"/>
              </w:rPr>
              <w:br/>
              <w:t xml:space="preserve"> Возможность удлинения не менее 165 см</w:t>
            </w:r>
            <w:r w:rsidRPr="001C749C">
              <w:rPr>
                <w:rFonts w:ascii="Times New Roman" w:hAnsi="Times New Roman"/>
                <w:sz w:val="20"/>
                <w:szCs w:val="20"/>
              </w:rPr>
              <w:br/>
              <w:t xml:space="preserve"> Наличие моделей с полимерным покрытием дистальной части.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175 000,00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875 000,00</w:t>
            </w:r>
          </w:p>
        </w:tc>
      </w:tr>
      <w:tr w:rsidR="001C749C" w:rsidRPr="00B867CC" w:rsidTr="00BA07A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807C99" w:rsidRDefault="001C749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BC6D3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Окклюзионная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баллонная система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1C749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Баллонный катетер мягкой и сверхмягкой конфигураций для временной окклюзии при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нейрососудистых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процедурах, внутренний диаметр - 0.0103".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Баллоны смонтированы на катетере длиной 150 мм. Совместимость всех конфигураций с проводником 0.010", который должен поставляться в комплекте, проводник также используется в процессе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индефляции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баллона. Один проводник может использоваться и для навигации, и для окклюзии системы. Мягкий баллон для боковых аневризм диаметром 3.0, 4.0, 5.0 мм, длиной 10.0, 15.0, 20.0, 30.0 мм, кончиком катетера 4 мм, проксимальным профилем 2.8F, дистальным профилем 2.2F. Сверхмягкий баллон для аневризм сложной локации, диаметром 3.0, 4.0, 7.0 мм, длиной 7.0, 15.0, 20.0 мм, кончиком катетера 2 мм, проксимальным профилем 2.8F, дистальным профилем 2.2-3.0F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495 000,00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3 465 000,00</w:t>
            </w:r>
          </w:p>
        </w:tc>
      </w:tr>
      <w:tr w:rsidR="001C749C" w:rsidRPr="001C749C" w:rsidTr="00BA07A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807C99" w:rsidRDefault="001C749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F70EA4" w:rsidRDefault="001C749C" w:rsidP="00BC6D3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Отделяемые</w:t>
            </w:r>
            <w:r w:rsidRPr="00F70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49C">
              <w:rPr>
                <w:rFonts w:ascii="Times New Roman" w:hAnsi="Times New Roman"/>
                <w:sz w:val="20"/>
                <w:szCs w:val="20"/>
              </w:rPr>
              <w:t>спирали</w:t>
            </w:r>
            <w:r w:rsidRPr="00F70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6D3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F70EA4">
              <w:rPr>
                <w:rFonts w:ascii="Times New Roman" w:hAnsi="Times New Roman"/>
                <w:sz w:val="20"/>
                <w:szCs w:val="20"/>
              </w:rPr>
              <w:t xml:space="preserve">(360, </w:t>
            </w:r>
            <w:r w:rsidRPr="001C749C">
              <w:rPr>
                <w:rFonts w:ascii="Times New Roman" w:hAnsi="Times New Roman"/>
                <w:sz w:val="20"/>
                <w:szCs w:val="20"/>
                <w:lang w:val="en-US"/>
              </w:rPr>
              <w:t>Helical</w:t>
            </w:r>
            <w:r w:rsidRPr="00F70E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C749C">
              <w:rPr>
                <w:rFonts w:ascii="Times New Roman" w:hAnsi="Times New Roman"/>
                <w:sz w:val="20"/>
                <w:szCs w:val="20"/>
                <w:lang w:val="en-US"/>
              </w:rPr>
              <w:t>Nano</w:t>
            </w:r>
            <w:r w:rsidRPr="00F70EA4">
              <w:rPr>
                <w:rFonts w:ascii="Times New Roman" w:hAnsi="Times New Roman"/>
                <w:sz w:val="20"/>
                <w:szCs w:val="20"/>
              </w:rPr>
              <w:t>,</w:t>
            </w:r>
            <w:r w:rsidR="00BC6D3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C749C">
              <w:rPr>
                <w:rFonts w:ascii="Times New Roman" w:hAnsi="Times New Roman"/>
                <w:sz w:val="20"/>
                <w:szCs w:val="20"/>
                <w:lang w:val="en-US"/>
              </w:rPr>
              <w:t>XL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F70EA4" w:rsidRDefault="00F70EA4" w:rsidP="00F70EA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EA4">
              <w:rPr>
                <w:rFonts w:ascii="Times New Roman" w:hAnsi="Times New Roman"/>
                <w:sz w:val="20"/>
                <w:szCs w:val="20"/>
              </w:rPr>
              <w:t xml:space="preserve">Спирали для </w:t>
            </w:r>
            <w:proofErr w:type="spellStart"/>
            <w:r w:rsidRPr="00F70EA4">
              <w:rPr>
                <w:rFonts w:ascii="Times New Roman" w:hAnsi="Times New Roman"/>
                <w:sz w:val="20"/>
                <w:szCs w:val="20"/>
              </w:rPr>
              <w:t>эмболизации</w:t>
            </w:r>
            <w:proofErr w:type="spellEnd"/>
            <w:r w:rsidRPr="00F70EA4">
              <w:rPr>
                <w:rFonts w:ascii="Times New Roman" w:hAnsi="Times New Roman"/>
                <w:sz w:val="20"/>
                <w:szCs w:val="20"/>
              </w:rPr>
              <w:t xml:space="preserve"> церебральных аневризм обеспечат заполнение полости аневризмы практически любой формы и размеров: разные вариации толщины, длины, </w:t>
            </w:r>
            <w:proofErr w:type="spellStart"/>
            <w:r w:rsidRPr="00F70EA4">
              <w:rPr>
                <w:rFonts w:ascii="Times New Roman" w:hAnsi="Times New Roman"/>
                <w:sz w:val="20"/>
                <w:szCs w:val="20"/>
              </w:rPr>
              <w:t>изгибаемости</w:t>
            </w:r>
            <w:proofErr w:type="spellEnd"/>
            <w:r w:rsidRPr="00F70E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70EA4">
              <w:rPr>
                <w:rFonts w:ascii="Times New Roman" w:hAnsi="Times New Roman"/>
                <w:sz w:val="20"/>
                <w:szCs w:val="20"/>
              </w:rPr>
              <w:t>конформности</w:t>
            </w:r>
            <w:proofErr w:type="spellEnd"/>
            <w:r w:rsidRPr="00F70EA4">
              <w:rPr>
                <w:rFonts w:ascii="Times New Roman" w:hAnsi="Times New Roman"/>
                <w:sz w:val="20"/>
                <w:szCs w:val="20"/>
              </w:rPr>
              <w:t>, жесткости</w:t>
            </w:r>
            <w:r w:rsidRPr="00F70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0E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C749C" w:rsidRPr="00F70EA4">
              <w:rPr>
                <w:rFonts w:ascii="Times New Roman" w:hAnsi="Times New Roman"/>
                <w:sz w:val="20"/>
                <w:szCs w:val="20"/>
              </w:rPr>
              <w:t xml:space="preserve">Размер пор венозного фильтра не более 47 мкм.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360 000,00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4 320 000,00</w:t>
            </w:r>
          </w:p>
        </w:tc>
      </w:tr>
      <w:tr w:rsidR="001C749C" w:rsidRPr="00B867CC" w:rsidTr="00A56D8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807C99" w:rsidRDefault="001C749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1C749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>Переносные мешки давления с манометром PIB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 xml:space="preserve">Переносной мешок для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инфузии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под давлением. Состоит из мешка с трубкой, краником и грушей на конце (белого цвета). </w:t>
            </w:r>
            <w:proofErr w:type="gramStart"/>
            <w:r w:rsidRPr="00BE55BE">
              <w:rPr>
                <w:rFonts w:ascii="Times New Roman" w:hAnsi="Times New Roman"/>
                <w:sz w:val="20"/>
                <w:szCs w:val="20"/>
              </w:rPr>
              <w:t>Изготовлен</w:t>
            </w:r>
            <w:proofErr w:type="gram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из нейлона. Без латекса. Не стерильный. Объем мешка 500 или 1000 мл. Клапан с кнопкой, обеспечивающий регуляцию давления в мешке и скорость тока жидкости. На кнопке клапана имеются деления и цветовая кодировка, которые показывает величину создаваемого давления. Две опции: 1) одно нажатие - стандартное давление; 2) два нажатия - для установки повышенного давления и быстрой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инфузии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. Имеется жесткая ручка зеленого цвета - для подвешивания к капельнице.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25 100,00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150 600,00</w:t>
            </w:r>
          </w:p>
        </w:tc>
      </w:tr>
      <w:tr w:rsidR="00BE55BE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BE" w:rsidRPr="00807C99" w:rsidRDefault="00BE55BE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BE" w:rsidRPr="001C749C" w:rsidRDefault="00BE55BE" w:rsidP="001C749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>Проводник ангиографический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 xml:space="preserve">Проводники диагностические.  Материал проводника: высокоэластичный сплав на основе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нитинола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>, оболочка из полиуретана и вольфрама, покрытый полиуретаном.  Наличие выбора диаметров: 0,018”; 0,025”; 0,032”; 0,035”; 0,038”.  Наличие выбора длин проводника: 50; 80; 120; 150; 180 см.  Наличие возможности выбора формы проводников: прямой; прямой жесткий; изогнутый; изгиб 45º; изгиб 45º жесткий.  Длина гибкой дистальной части: 10; 30; 50; 80 мм. Наличие полимерного гидрофильного устойчивого покрытия M-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coat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 xml:space="preserve"> по всей длине проводника.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BE" w:rsidRPr="001C749C" w:rsidRDefault="00BE55BE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proofErr w:type="gramStart"/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</w:t>
            </w:r>
            <w:proofErr w:type="gramEnd"/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BE" w:rsidRPr="001C749C" w:rsidRDefault="00BE55BE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60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BE" w:rsidRPr="001C749C" w:rsidRDefault="00BE55BE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11 235,00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BE" w:rsidRPr="001C749C" w:rsidRDefault="00BE55BE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674 100,00</w:t>
            </w:r>
          </w:p>
        </w:tc>
      </w:tr>
      <w:tr w:rsidR="00BE55BE" w:rsidRPr="00B867CC" w:rsidTr="00A56D8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BE" w:rsidRPr="00807C99" w:rsidRDefault="00BE55BE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BE" w:rsidRPr="001C749C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Проводник диагностический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BE" w:rsidRPr="00BE55BE" w:rsidRDefault="00BE55BE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55BE">
              <w:rPr>
                <w:rFonts w:ascii="Times New Roman" w:hAnsi="Times New Roman"/>
                <w:sz w:val="20"/>
                <w:szCs w:val="20"/>
              </w:rPr>
              <w:t xml:space="preserve">Проводники диагностические.  Материал проводника: высокоэластичный сплав на основе </w:t>
            </w:r>
            <w:proofErr w:type="spellStart"/>
            <w:r w:rsidRPr="00BE55BE">
              <w:rPr>
                <w:rFonts w:ascii="Times New Roman" w:hAnsi="Times New Roman"/>
                <w:sz w:val="20"/>
                <w:szCs w:val="20"/>
              </w:rPr>
              <w:t>нитинола</w:t>
            </w:r>
            <w:proofErr w:type="spellEnd"/>
            <w:r w:rsidRPr="00BE55BE">
              <w:rPr>
                <w:rFonts w:ascii="Times New Roman" w:hAnsi="Times New Roman"/>
                <w:sz w:val="20"/>
                <w:szCs w:val="20"/>
              </w:rPr>
              <w:t>, покрытый полиуретаном.  Наличие выбора диаметров: 0,018”; 0,025”; 0,032”; 0,035”; 0,038”.  Наличие выбора длин проводника: 50; 80; 120; 150; 180 см.  Наличие возможности выбора формы проводников: прямой; прямой жесткий; изогнутый; изгиб 45º; изгиб 45º жесткий.  Длина гибкой дистальной части: 10; 30; 50; 80 мм. Наличие гидрофильного устойчивого покрытия по всей длине проводника.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BE" w:rsidRPr="001C749C" w:rsidRDefault="00BE55BE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proofErr w:type="gramStart"/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</w:t>
            </w:r>
            <w:proofErr w:type="gramEnd"/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BE" w:rsidRPr="001C749C" w:rsidRDefault="00BE55BE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132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BE" w:rsidRPr="001C749C" w:rsidRDefault="00BE55BE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13 900,00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5BE" w:rsidRPr="001C749C" w:rsidRDefault="00BE55BE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1 834 800,00</w:t>
            </w:r>
          </w:p>
        </w:tc>
      </w:tr>
      <w:tr w:rsidR="001C749C" w:rsidRPr="00B867CC" w:rsidTr="00A56D8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807C99" w:rsidRDefault="001C749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Проводниковый катетер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1C749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Армированный перекрестно расположенными сдвоенными волокнами нержавеющей стали, направляющий катетер со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сверхгибкой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дистальной частью длиной не менее 7 см. Мягкий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атравматичный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кончик с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рентгеноконтрастной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меткой. Наличие изгибов: 40°, 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многоцелевой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>, прямой. Наличие катетеров с наружным диаметром: 5F, 6F, 7F, 8F. Диаметр внутренний для катетеров 5F- не менее 0,053", 6F- не менее 0,064", 7F- не менее 0,073", 8F- не менее 0,086". Наличие длина 90, 100 см.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81 000,00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972 000,00</w:t>
            </w:r>
          </w:p>
        </w:tc>
      </w:tr>
      <w:tr w:rsidR="001C749C" w:rsidRPr="00B867CC" w:rsidTr="00A56D8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807C99" w:rsidRDefault="001C749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Самораскрывающаяся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система для каротидных артерий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1C749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Самораскрывающийся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нитиноловый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на системе доставки с </w:t>
            </w:r>
            <w:proofErr w:type="spellStart"/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R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портом на расстоянии 28 см от кончика катетера. Танталовые маркеры на каждом конце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. Ячейки открытого типа. Не расширяющиеся концы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. Система защиты от "выпрыгивания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" EX.P.R.T. при раскрытии. Нулевое укорочение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. Толщина стенки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0.0088". Совместимость с проводником 0.014. Рабочая длина доставляющего катетера 135 см. Совместим с проводником 0.014". Возможны два варианта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: анатомически 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суживающийся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(«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бутылкообразной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») формы и прямой. Размер для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бутылкообразной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формы: диаметр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8х6, длина 30мм; диаметр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8х6, длина 40мм; диаметр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10х7, длина 30мм; диаметр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10х7, длина 40мм. Размер для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прямой формы: диаметр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- 6; 7; 8; 9; 10, длина - 20; 30; 40; 60 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374 500,00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3 745 000,00</w:t>
            </w:r>
          </w:p>
        </w:tc>
      </w:tr>
      <w:tr w:rsidR="001C749C" w:rsidRPr="00B867CC" w:rsidTr="00A56D8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807C99" w:rsidRDefault="001C749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Система для защиты от дистальной эмболии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1C749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Быстро сменяемая система защиты против дистальной эмболии с плетеным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нитиноловым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фильтром с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гепариновым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покрытием. Независимое вращение фильтра на проводе. Поперечный профиль 3.2Fr. Совместим с проводниками 0.014" или 0.018". Длина проводника 320см с возможностью укорочения до 190см и использование оставшегося проводника для "быстрой" навигации через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Rx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порт. Платиновая проволока на конце проводника для обеспечения 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наилучшей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рентгенконтрастности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>. Золотая проволока вмонтирования в отверстия фильтра для определения степени открытия и положения фильтра. Фильтр должен полностью убираться в доставляющий катетер при доставке. При удалении фильтр должен полностью убираться в катетер 4.2Fr. Катетер для доставки и удаления входит в комплект.  Размер фильтра: 3; 4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5; 6; 7мм.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373 965,00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4 861 545,00</w:t>
            </w:r>
          </w:p>
        </w:tc>
      </w:tr>
      <w:tr w:rsidR="001C749C" w:rsidRPr="00B867CC" w:rsidTr="00A56D8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807C99" w:rsidRDefault="001C749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Система отсоединения со звуковым и визуальным контролем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1C749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"Система отделения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микроспиралей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>. Контроллер стерильный и предназначен для одноразового использования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Совершает до 20 отделений. Источник питания – заряженные батареи без специальных условий хранения. Контроллер состоит из микросхемы – микропроцессора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Система должна проверять зарядку батареи и ее исправность. Простой мониторинг готовности контроллера. В случае неисправности - красная лампочка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Простое нажатие на кнопку отделения спирали завершает процесс не более чем за 3 секунды. Цикл отсоединения сопровождается звуковыми и визуальными сигналами.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34 000,00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170 000,00</w:t>
            </w:r>
          </w:p>
        </w:tc>
      </w:tr>
      <w:tr w:rsidR="001C749C" w:rsidRPr="00B867CC" w:rsidTr="001D63A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807C99" w:rsidRDefault="001C749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Спирали для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эмболизации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аневризм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1C749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Непокрытая платиновая трехмерная спираль, закрепленная на шасси из полипропилена. Шасси состоит из двух независимо закрепленных нитей и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атравматичного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полипропиленового шарика на дистальном конце. Крепление шасси на доставляющей системе должно позволять спирали свободно вращаться на 360° и отгибаться под углом 67° по отношению к доставляющей системе. Система доставки должна обеспечивать наилучшую установку и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перепоцизионирование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спирали, а также предотвращать эффект "отброса" доставляющего катетера. Система отделения спиралей - моментальная, механическая,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активаторного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типа, без использования электрических кабелей и батареек. Гидрофильное PTFE покрытие. МРТ совместимы. Все размеры спиралей совместимы с катетером доставки 0.010". Диаметр (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>) 1.5, 2, 3, 4, 5, 6, 7, 8, 9, 10, 12, 14, 16, 18, 20, 22, 25, длина (см) 1, 2, 3, 4, 6, 8, 10, 12, 15, 20, 30, 40, 50. Размер по заявке конечного получателя. 310 000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310 000,00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3 720 000,00</w:t>
            </w:r>
          </w:p>
        </w:tc>
      </w:tr>
      <w:tr w:rsidR="001C749C" w:rsidRPr="00B867CC" w:rsidTr="001D63A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740484" w:rsidRDefault="001C749C" w:rsidP="00324231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коронарный лекарственно-покрытый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1C749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Коронарный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с лекарственным покрытием, включающим лекарственное вещество на основе полимера (D, L-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лактид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>-со-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капролактон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), время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абсорбации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которого синхронно с высвобождением лекарства (3-4 месяца), что приводит к снижению риска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рестеноза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и тромбоза, так же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сиролимуса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(активное вещество). Основные функциональные требования, технические характеристики: наличие диаметра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2,25 мм; 2,5 мм; 2,75 мм; 3,0 мм; 3,5 мм 4,0 мм. Наличие широкого диапазона длины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9, 12, 15, 18, 21, 24, 28, 33 и 38мм. 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Соответствует основным требованиям и стандартам ЕС (СЕ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mark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) для следующих категорий пациентов: с инфарктом миокарда с подъемом и без подъема сегмента ST, острым коронарным синдромом, сахарным диабетом, многососудистыми поражениями,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бифуркационными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поражениями, а также пациентов старше 65 лет, пациентов мужского и женского пола, пациентов с полной окклюзией поражения, протяженными участками поражения, поражениями малых коронарных сосудов,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рестенозом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(включая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рестеноз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внутри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>), поражениями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устья сосудов, поражениями левой коронарной артерии, подходит как для бедренного, так и для радиального доступа. Материал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на основе сплава кобальт хрома L605, с дизайном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открытая ячейка, что позволяет улучшить доступ к боковым ветвям при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бифуркационных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поражениях. Доза лекарства 3,9 мкг/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длины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>. Высвобождение лекарственного вещества в течени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3-4 месяцев. Возможность обоснованной отмены 2-й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антитромбоцитарной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 терапии через 1 месяц после имплантации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, важно для пациентов 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нуждающимся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в дополнительной последующей операции во избежание риска кровотечения. Покрытие лекарства только на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аблюминальной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части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для быстрой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эндотелизации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и снижению риска тромбоза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, что особенно критично для пациентов больных диабетом, градиентное покрытие для исключения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деламинации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полимера и отсутствия риска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микроэмболизации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сосудов (покрывает только неподвижные части конструкции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). Толщина балки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80 µm. Обязательное наличие системы доставки с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трехлепестковым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низкокомплаентным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баллоном  и номинальным давлением не ниже 9 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АТМ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для всех диаметров и длин. Материал баллона Нейлон 12, маркеры 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платина-иридиевые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>. Покрытие дистальной части системы доставк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и–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гидрофильное. </w:t>
            </w:r>
            <w:proofErr w:type="gramStart"/>
            <w:r w:rsidRPr="001C749C">
              <w:rPr>
                <w:rFonts w:ascii="Times New Roman" w:hAnsi="Times New Roman"/>
                <w:sz w:val="20"/>
                <w:szCs w:val="20"/>
              </w:rPr>
              <w:t>Усиленный</w:t>
            </w:r>
            <w:proofErr w:type="gram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сердечником из нержавеющей стали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шафт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избежания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излома в месте выхода проводника и лучшей передачи усилия. Специально разработанный для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кончик системы доставки закругленной формы и повышенной износоустойчивости для прохождения кальцинированных поражений без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заламывания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. Кончик системы доставки красного цвета для лучшей визуализации во время введения проводника. Диаметр дистальной части - не более 2,7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., проксимальной 1,9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. Минимальная рабочая длина системы доставки 144 см. Входной профиль системы доставки не более 0,017” (0,43 мм). Возможность использования системы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при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стентировании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через лучевую артерию с проводниковым катетером диаметром 5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(1,42 мм/0,056”).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290 000,00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2 030 000,00</w:t>
            </w:r>
          </w:p>
        </w:tc>
      </w:tr>
      <w:tr w:rsidR="001C749C" w:rsidRPr="00B867CC" w:rsidTr="00A810D1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49C" w:rsidRPr="00740484" w:rsidRDefault="001C749C" w:rsidP="00324231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BE55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Устройство для электролитического отделения спиралей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 w:rsidP="001C749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49C">
              <w:rPr>
                <w:rFonts w:ascii="Times New Roman" w:hAnsi="Times New Roman"/>
                <w:sz w:val="20"/>
                <w:szCs w:val="20"/>
              </w:rPr>
              <w:t xml:space="preserve">Неразборный, стерильный электронный блок с панелью управления для обеспечения энергией процесса электролитического отделения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микроспиралей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. Возможность отделения до 60-ти спиралей. Возможность поставки дополнительных электродов для подачи напряжения на спираль. Наличие световых и звуковых индикаторов. Совместимость с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микроспиралями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 GDC,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Matrix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C749C">
              <w:rPr>
                <w:rFonts w:ascii="Times New Roman" w:hAnsi="Times New Roman"/>
                <w:sz w:val="20"/>
                <w:szCs w:val="20"/>
              </w:rPr>
              <w:t>Target</w:t>
            </w:r>
            <w:proofErr w:type="spellEnd"/>
            <w:r w:rsidRPr="001C74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85 000,00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749C" w:rsidRPr="001C749C" w:rsidRDefault="001C749C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C749C">
              <w:rPr>
                <w:rFonts w:ascii="Times New Roman" w:eastAsia="BatangChe" w:hAnsi="Times New Roman"/>
                <w:sz w:val="20"/>
                <w:szCs w:val="20"/>
              </w:rPr>
              <w:t>255 000,00</w:t>
            </w:r>
          </w:p>
        </w:tc>
      </w:tr>
      <w:tr w:rsidR="00535EFC" w:rsidRPr="00B867CC" w:rsidTr="00A810D1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EFC" w:rsidRDefault="00535EFC" w:rsidP="00324231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EFC" w:rsidRPr="00A95F5F" w:rsidRDefault="00535EFC" w:rsidP="00A95F5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Комплект проводов отведений </w:t>
            </w:r>
            <w:r w:rsidR="00A95F5F">
              <w:rPr>
                <w:rFonts w:ascii="Times New Roman" w:hAnsi="Times New Roman"/>
                <w:sz w:val="20"/>
                <w:szCs w:val="20"/>
                <w:lang w:val="kk-KZ"/>
              </w:rPr>
              <w:t>для ЭКГ кабеля 10 отведений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EFC" w:rsidRPr="00A95F5F" w:rsidRDefault="00A95F5F" w:rsidP="001C749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95F5F">
              <w:rPr>
                <w:rFonts w:ascii="Times New Roman" w:hAnsi="Times New Roman"/>
                <w:sz w:val="20"/>
                <w:szCs w:val="20"/>
                <w:lang w:val="kk-KZ"/>
              </w:rPr>
              <w:t>Комплект проводов отведений для ЭКГ кабеля 10 отведений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EFC" w:rsidRPr="00535EFC" w:rsidRDefault="00535EFC">
            <w:pPr>
              <w:jc w:val="center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комплект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EFC" w:rsidRPr="00535EFC" w:rsidRDefault="00535EFC">
            <w:pPr>
              <w:jc w:val="center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EFC" w:rsidRPr="00535EFC" w:rsidRDefault="00535EFC">
            <w:pPr>
              <w:jc w:val="center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290</w:t>
            </w:r>
            <w:r w:rsidR="00A60B8C"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 </w:t>
            </w:r>
            <w:r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000</w:t>
            </w:r>
            <w:r w:rsidR="00A60B8C"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EFC" w:rsidRPr="00A60B8C" w:rsidRDefault="00535EFC">
            <w:pPr>
              <w:jc w:val="center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 w:rsidRPr="00535EFC">
              <w:rPr>
                <w:rFonts w:ascii="Times New Roman" w:eastAsia="BatangChe" w:hAnsi="Times New Roman"/>
                <w:sz w:val="20"/>
                <w:szCs w:val="20"/>
              </w:rPr>
              <w:t>870</w:t>
            </w:r>
            <w:r w:rsidR="00A60B8C"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 </w:t>
            </w:r>
            <w:r w:rsidRPr="00535EFC">
              <w:rPr>
                <w:rFonts w:ascii="Times New Roman" w:eastAsia="BatangChe" w:hAnsi="Times New Roman"/>
                <w:sz w:val="20"/>
                <w:szCs w:val="20"/>
              </w:rPr>
              <w:t>000</w:t>
            </w:r>
            <w:r w:rsidR="00A60B8C"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,00</w:t>
            </w:r>
          </w:p>
        </w:tc>
      </w:tr>
      <w:tr w:rsidR="00475AC5" w:rsidRPr="00B867CC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AC5" w:rsidRPr="00807C99" w:rsidRDefault="00475AC5" w:rsidP="00B536B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807C99" w:rsidRDefault="00475AC5" w:rsidP="00B536B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C5" w:rsidRPr="00807C99" w:rsidRDefault="00475AC5" w:rsidP="00B536B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807C99" w:rsidRDefault="00475AC5" w:rsidP="00B536B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807C99" w:rsidRDefault="00475AC5" w:rsidP="00B536B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807C99" w:rsidRDefault="00475AC5" w:rsidP="00B536B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595AF1" w:rsidRDefault="00A95F5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5F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55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A95F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286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A95F5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029,39</w:t>
            </w:r>
          </w:p>
        </w:tc>
      </w:tr>
    </w:tbl>
    <w:p w:rsidR="00D008A2" w:rsidRPr="009B162D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FE2212" w:rsidRPr="00FE2212">
        <w:rPr>
          <w:rFonts w:ascii="Times New Roman" w:hAnsi="Times New Roman"/>
          <w:b/>
          <w:szCs w:val="18"/>
          <w:lang w:val="kk-KZ"/>
        </w:rPr>
        <w:t>И.о 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="00FE2212"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B5" w:rsidRDefault="00B536B5" w:rsidP="004C5CD1">
      <w:pPr>
        <w:spacing w:after="0" w:line="240" w:lineRule="auto"/>
      </w:pPr>
      <w:r>
        <w:separator/>
      </w:r>
    </w:p>
  </w:endnote>
  <w:endnote w:type="continuationSeparator" w:id="0">
    <w:p w:rsidR="00B536B5" w:rsidRDefault="00B536B5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B5" w:rsidRDefault="00B536B5" w:rsidP="004C5CD1">
      <w:pPr>
        <w:spacing w:after="0" w:line="240" w:lineRule="auto"/>
      </w:pPr>
      <w:r>
        <w:separator/>
      </w:r>
    </w:p>
  </w:footnote>
  <w:footnote w:type="continuationSeparator" w:id="0">
    <w:p w:rsidR="00B536B5" w:rsidRDefault="00B536B5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60C50"/>
    <w:rsid w:val="00062204"/>
    <w:rsid w:val="0007443C"/>
    <w:rsid w:val="00083F21"/>
    <w:rsid w:val="0009302B"/>
    <w:rsid w:val="000A340B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13822"/>
    <w:rsid w:val="001242AC"/>
    <w:rsid w:val="00130904"/>
    <w:rsid w:val="00130D4C"/>
    <w:rsid w:val="0014100B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C749C"/>
    <w:rsid w:val="001D04ED"/>
    <w:rsid w:val="001E1468"/>
    <w:rsid w:val="001E74B1"/>
    <w:rsid w:val="001F3ECF"/>
    <w:rsid w:val="002140A7"/>
    <w:rsid w:val="00214747"/>
    <w:rsid w:val="00214E79"/>
    <w:rsid w:val="0021779F"/>
    <w:rsid w:val="002275FB"/>
    <w:rsid w:val="002325E0"/>
    <w:rsid w:val="002458C0"/>
    <w:rsid w:val="0026323B"/>
    <w:rsid w:val="002645AF"/>
    <w:rsid w:val="00264B9A"/>
    <w:rsid w:val="00270E9C"/>
    <w:rsid w:val="002722F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231"/>
    <w:rsid w:val="00324602"/>
    <w:rsid w:val="00350C6B"/>
    <w:rsid w:val="00362820"/>
    <w:rsid w:val="00372A86"/>
    <w:rsid w:val="003730BC"/>
    <w:rsid w:val="00373A28"/>
    <w:rsid w:val="003933EF"/>
    <w:rsid w:val="00393C33"/>
    <w:rsid w:val="00395578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7328D"/>
    <w:rsid w:val="00475AC5"/>
    <w:rsid w:val="004849FF"/>
    <w:rsid w:val="00487157"/>
    <w:rsid w:val="00491063"/>
    <w:rsid w:val="004A31E3"/>
    <w:rsid w:val="004B4EFD"/>
    <w:rsid w:val="004C5CD1"/>
    <w:rsid w:val="004D4DE8"/>
    <w:rsid w:val="004D4E8A"/>
    <w:rsid w:val="004E48B6"/>
    <w:rsid w:val="004E64D1"/>
    <w:rsid w:val="004F13B2"/>
    <w:rsid w:val="004F4700"/>
    <w:rsid w:val="0050195D"/>
    <w:rsid w:val="0050412A"/>
    <w:rsid w:val="00523A10"/>
    <w:rsid w:val="005250CB"/>
    <w:rsid w:val="005269D6"/>
    <w:rsid w:val="0052782B"/>
    <w:rsid w:val="00533883"/>
    <w:rsid w:val="00535EFC"/>
    <w:rsid w:val="00537D1F"/>
    <w:rsid w:val="00547ADD"/>
    <w:rsid w:val="00554452"/>
    <w:rsid w:val="0056373D"/>
    <w:rsid w:val="00564B69"/>
    <w:rsid w:val="0057747D"/>
    <w:rsid w:val="00595AF1"/>
    <w:rsid w:val="005A0993"/>
    <w:rsid w:val="005C424E"/>
    <w:rsid w:val="005C7A8E"/>
    <w:rsid w:val="005D1668"/>
    <w:rsid w:val="005D657F"/>
    <w:rsid w:val="005E0B26"/>
    <w:rsid w:val="005F7327"/>
    <w:rsid w:val="006232AE"/>
    <w:rsid w:val="00632BC5"/>
    <w:rsid w:val="00633B7E"/>
    <w:rsid w:val="006367E1"/>
    <w:rsid w:val="00660ADA"/>
    <w:rsid w:val="00665022"/>
    <w:rsid w:val="00683416"/>
    <w:rsid w:val="00691780"/>
    <w:rsid w:val="00692ED1"/>
    <w:rsid w:val="00693996"/>
    <w:rsid w:val="006978A5"/>
    <w:rsid w:val="006A7233"/>
    <w:rsid w:val="006A7D4A"/>
    <w:rsid w:val="006C4A38"/>
    <w:rsid w:val="006C66E0"/>
    <w:rsid w:val="006E24F4"/>
    <w:rsid w:val="006F1D05"/>
    <w:rsid w:val="006F3FAC"/>
    <w:rsid w:val="00705929"/>
    <w:rsid w:val="00706DE0"/>
    <w:rsid w:val="0073484F"/>
    <w:rsid w:val="007352DD"/>
    <w:rsid w:val="007356F1"/>
    <w:rsid w:val="00740484"/>
    <w:rsid w:val="00741138"/>
    <w:rsid w:val="00767784"/>
    <w:rsid w:val="0077000A"/>
    <w:rsid w:val="00770840"/>
    <w:rsid w:val="007727B8"/>
    <w:rsid w:val="00773C3E"/>
    <w:rsid w:val="0078648F"/>
    <w:rsid w:val="00792A8E"/>
    <w:rsid w:val="007A0FAB"/>
    <w:rsid w:val="007C01CA"/>
    <w:rsid w:val="007D11B7"/>
    <w:rsid w:val="007D5112"/>
    <w:rsid w:val="007D55A0"/>
    <w:rsid w:val="00807C99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B38A1"/>
    <w:rsid w:val="008C22BD"/>
    <w:rsid w:val="008C4749"/>
    <w:rsid w:val="008D7DAA"/>
    <w:rsid w:val="008F008D"/>
    <w:rsid w:val="0090063B"/>
    <w:rsid w:val="0094033F"/>
    <w:rsid w:val="0094361B"/>
    <w:rsid w:val="009442C7"/>
    <w:rsid w:val="0094485C"/>
    <w:rsid w:val="00960D13"/>
    <w:rsid w:val="00972BA5"/>
    <w:rsid w:val="00976826"/>
    <w:rsid w:val="00985F72"/>
    <w:rsid w:val="00990AEA"/>
    <w:rsid w:val="009974C8"/>
    <w:rsid w:val="009B162D"/>
    <w:rsid w:val="009B69A3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0B8C"/>
    <w:rsid w:val="00A635BF"/>
    <w:rsid w:val="00A72A6B"/>
    <w:rsid w:val="00A7626A"/>
    <w:rsid w:val="00A847D3"/>
    <w:rsid w:val="00A86DD6"/>
    <w:rsid w:val="00A93A3E"/>
    <w:rsid w:val="00A93C6A"/>
    <w:rsid w:val="00A9494A"/>
    <w:rsid w:val="00A95F5F"/>
    <w:rsid w:val="00AA234E"/>
    <w:rsid w:val="00AA256B"/>
    <w:rsid w:val="00AA4B83"/>
    <w:rsid w:val="00AB0CDA"/>
    <w:rsid w:val="00AB3572"/>
    <w:rsid w:val="00AB4AA1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4A11"/>
    <w:rsid w:val="00B473FC"/>
    <w:rsid w:val="00B536B5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A4DB8"/>
    <w:rsid w:val="00BB68F2"/>
    <w:rsid w:val="00BC6D33"/>
    <w:rsid w:val="00BC744D"/>
    <w:rsid w:val="00BE4BD9"/>
    <w:rsid w:val="00BE55BE"/>
    <w:rsid w:val="00BF48F0"/>
    <w:rsid w:val="00C02A47"/>
    <w:rsid w:val="00C052D4"/>
    <w:rsid w:val="00C07B7A"/>
    <w:rsid w:val="00C67357"/>
    <w:rsid w:val="00C7665D"/>
    <w:rsid w:val="00C87B13"/>
    <w:rsid w:val="00C91D54"/>
    <w:rsid w:val="00CA297E"/>
    <w:rsid w:val="00CB4F2C"/>
    <w:rsid w:val="00CB65B6"/>
    <w:rsid w:val="00CC0B1D"/>
    <w:rsid w:val="00CC205A"/>
    <w:rsid w:val="00CC2F9A"/>
    <w:rsid w:val="00CC6693"/>
    <w:rsid w:val="00CD6383"/>
    <w:rsid w:val="00CE618F"/>
    <w:rsid w:val="00CF3569"/>
    <w:rsid w:val="00CF69A3"/>
    <w:rsid w:val="00CF7B29"/>
    <w:rsid w:val="00D008A2"/>
    <w:rsid w:val="00D00991"/>
    <w:rsid w:val="00D04CFC"/>
    <w:rsid w:val="00D10F34"/>
    <w:rsid w:val="00D320ED"/>
    <w:rsid w:val="00D7552D"/>
    <w:rsid w:val="00D77EA8"/>
    <w:rsid w:val="00D87F1B"/>
    <w:rsid w:val="00D9404B"/>
    <w:rsid w:val="00D96013"/>
    <w:rsid w:val="00DA1117"/>
    <w:rsid w:val="00DA2429"/>
    <w:rsid w:val="00DD1BD4"/>
    <w:rsid w:val="00DD4191"/>
    <w:rsid w:val="00DE721C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ED176E"/>
    <w:rsid w:val="00EE48F8"/>
    <w:rsid w:val="00F05B0C"/>
    <w:rsid w:val="00F07FBD"/>
    <w:rsid w:val="00F2129A"/>
    <w:rsid w:val="00F2263B"/>
    <w:rsid w:val="00F4532E"/>
    <w:rsid w:val="00F47E66"/>
    <w:rsid w:val="00F51290"/>
    <w:rsid w:val="00F52B93"/>
    <w:rsid w:val="00F57C08"/>
    <w:rsid w:val="00F675F4"/>
    <w:rsid w:val="00F70EA4"/>
    <w:rsid w:val="00F71A6C"/>
    <w:rsid w:val="00F81607"/>
    <w:rsid w:val="00F81A36"/>
    <w:rsid w:val="00F9001C"/>
    <w:rsid w:val="00F95E4C"/>
    <w:rsid w:val="00FA600A"/>
    <w:rsid w:val="00FC199A"/>
    <w:rsid w:val="00FC5E32"/>
    <w:rsid w:val="00FC7F48"/>
    <w:rsid w:val="00FD6722"/>
    <w:rsid w:val="00FD73BD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68B2-36D6-4132-AE44-68D81856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4743</Words>
  <Characters>27039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2021-01-19T09:04:00Z</cp:lastPrinted>
  <dcterms:created xsi:type="dcterms:W3CDTF">2021-01-29T03:15:00Z</dcterms:created>
  <dcterms:modified xsi:type="dcterms:W3CDTF">2021-02-02T09:26:00Z</dcterms:modified>
</cp:coreProperties>
</file>