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0E32A5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0E32A5" w:rsidRPr="007B3149">
        <w:rPr>
          <w:rFonts w:ascii="Times New Roman" w:hAnsi="Times New Roman"/>
          <w:b/>
          <w:sz w:val="24"/>
          <w:szCs w:val="24"/>
        </w:rPr>
        <w:t>2</w:t>
      </w:r>
      <w:r w:rsidR="000E32A5">
        <w:rPr>
          <w:rFonts w:ascii="Times New Roman" w:hAnsi="Times New Roman"/>
          <w:b/>
          <w:sz w:val="24"/>
          <w:szCs w:val="24"/>
        </w:rPr>
        <w:t>3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товаров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0E32A5">
        <w:rPr>
          <w:rFonts w:ascii="Times New Roman" w:hAnsi="Times New Roman"/>
          <w:b/>
          <w:color w:val="000000" w:themeColor="text1"/>
          <w:sz w:val="24"/>
          <w:szCs w:val="24"/>
        </w:rPr>
        <w:t>25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228D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февраля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07443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21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F474D2" w:rsidRPr="00F474D2">
        <w:rPr>
          <w:rFonts w:ascii="Times New Roman" w:hAnsi="Times New Roman"/>
          <w:b/>
          <w:sz w:val="24"/>
          <w:szCs w:val="24"/>
        </w:rPr>
        <w:t>2</w:t>
      </w:r>
      <w:r w:rsidR="000E32A5">
        <w:rPr>
          <w:rFonts w:ascii="Times New Roman" w:hAnsi="Times New Roman"/>
          <w:b/>
          <w:sz w:val="24"/>
          <w:szCs w:val="24"/>
        </w:rPr>
        <w:t>5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228D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февраля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0E32A5">
        <w:rPr>
          <w:rFonts w:ascii="Times New Roman" w:hAnsi="Times New Roman"/>
          <w:b/>
          <w:sz w:val="24"/>
          <w:szCs w:val="24"/>
        </w:rPr>
        <w:t>4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="00F474D2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74D2">
        <w:rPr>
          <w:rFonts w:ascii="Times New Roman" w:hAnsi="Times New Roman"/>
          <w:b/>
          <w:sz w:val="24"/>
          <w:szCs w:val="24"/>
        </w:rPr>
        <w:t>марта</w:t>
      </w:r>
      <w:r w:rsidR="00B867CC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07443C">
        <w:rPr>
          <w:rFonts w:ascii="Times New Roman" w:hAnsi="Times New Roman"/>
          <w:b/>
          <w:sz w:val="24"/>
          <w:szCs w:val="24"/>
        </w:rPr>
        <w:t>2021</w:t>
      </w:r>
      <w:r w:rsidR="00B228DF">
        <w:rPr>
          <w:rFonts w:ascii="Times New Roman" w:hAnsi="Times New Roman"/>
          <w:b/>
          <w:sz w:val="24"/>
          <w:szCs w:val="24"/>
        </w:rPr>
        <w:t xml:space="preserve"> года до </w:t>
      </w:r>
      <w:r w:rsidR="00B228DF">
        <w:rPr>
          <w:rFonts w:ascii="Times New Roman" w:hAnsi="Times New Roman"/>
          <w:b/>
          <w:sz w:val="24"/>
          <w:szCs w:val="24"/>
          <w:lang w:val="kk-KZ"/>
        </w:rPr>
        <w:t>09</w:t>
      </w:r>
      <w:r w:rsidRPr="00393C33">
        <w:rPr>
          <w:rFonts w:ascii="Times New Roman" w:hAnsi="Times New Roman"/>
          <w:b/>
          <w:sz w:val="24"/>
          <w:szCs w:val="24"/>
        </w:rPr>
        <w:t>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0E32A5">
        <w:rPr>
          <w:rFonts w:ascii="Times New Roman" w:hAnsi="Times New Roman"/>
          <w:b/>
          <w:sz w:val="24"/>
          <w:szCs w:val="24"/>
        </w:rPr>
        <w:t>4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>»</w:t>
      </w:r>
      <w:r w:rsidR="000E28B9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474D2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0E28B9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07443C">
        <w:rPr>
          <w:rFonts w:ascii="Times New Roman" w:hAnsi="Times New Roman"/>
          <w:b/>
          <w:sz w:val="24"/>
          <w:szCs w:val="24"/>
        </w:rPr>
        <w:t>21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A003D0">
        <w:rPr>
          <w:rFonts w:ascii="Times New Roman" w:hAnsi="Times New Roman"/>
          <w:b/>
          <w:sz w:val="24"/>
          <w:szCs w:val="24"/>
        </w:rPr>
        <w:t>время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="00A003D0">
        <w:rPr>
          <w:rFonts w:ascii="Times New Roman" w:hAnsi="Times New Roman"/>
          <w:b/>
          <w:sz w:val="24"/>
          <w:szCs w:val="24"/>
          <w:lang w:val="kk-KZ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D008A2">
        <w:rPr>
          <w:rFonts w:ascii="Times New Roman" w:hAnsi="Times New Roman"/>
          <w:b/>
          <w:sz w:val="24"/>
          <w:szCs w:val="24"/>
        </w:rPr>
        <w:t>0</w:t>
      </w:r>
      <w:r w:rsidR="00324602">
        <w:rPr>
          <w:rFonts w:ascii="Times New Roman" w:hAnsi="Times New Roman"/>
          <w:b/>
          <w:sz w:val="24"/>
          <w:szCs w:val="24"/>
        </w:rPr>
        <w:t>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1A5ED1">
        <w:rPr>
          <w:rFonts w:ascii="Times New Roman" w:hAnsi="Times New Roman"/>
          <w:sz w:val="24"/>
          <w:szCs w:val="24"/>
        </w:rPr>
        <w:t>Ахмадиева</w:t>
      </w:r>
      <w:proofErr w:type="spellEnd"/>
      <w:r w:rsidR="001A5E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A5ED1">
        <w:rPr>
          <w:rFonts w:ascii="Times New Roman" w:hAnsi="Times New Roman"/>
          <w:sz w:val="24"/>
          <w:szCs w:val="24"/>
        </w:rPr>
        <w:t>Аяулым</w:t>
      </w:r>
      <w:proofErr w:type="spellEnd"/>
    </w:p>
    <w:p w:rsidR="004F5AA0" w:rsidRPr="006C4A38" w:rsidRDefault="004F5AA0" w:rsidP="004F5AA0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d"/>
            <w:rFonts w:ascii="Times New Roman" w:hAnsi="Times New Roman"/>
            <w:b/>
            <w:sz w:val="24"/>
            <w:szCs w:val="24"/>
          </w:rPr>
          <w:t xml:space="preserve">статьи </w:t>
        </w:r>
        <w:r>
          <w:rPr>
            <w:rStyle w:val="ad"/>
            <w:rFonts w:ascii="Times New Roman" w:hAnsi="Times New Roman"/>
            <w:b/>
            <w:sz w:val="24"/>
            <w:szCs w:val="24"/>
            <w:lang w:val="kk-KZ"/>
          </w:rPr>
          <w:t>10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</w:t>
      </w:r>
      <w:r>
        <w:rPr>
          <w:rFonts w:ascii="Times New Roman" w:hAnsi="Times New Roman"/>
          <w:b/>
          <w:sz w:val="24"/>
          <w:szCs w:val="24"/>
          <w:lang w:val="kk-KZ"/>
        </w:rPr>
        <w:t>7 июл</w:t>
      </w:r>
      <w:r w:rsidRPr="006C4A38">
        <w:rPr>
          <w:rFonts w:ascii="Times New Roman" w:hAnsi="Times New Roman"/>
          <w:b/>
          <w:sz w:val="24"/>
          <w:szCs w:val="24"/>
        </w:rPr>
        <w:t>я 20</w:t>
      </w:r>
      <w:r>
        <w:rPr>
          <w:rFonts w:ascii="Times New Roman" w:hAnsi="Times New Roman"/>
          <w:b/>
          <w:sz w:val="24"/>
          <w:szCs w:val="24"/>
          <w:lang w:val="kk-KZ"/>
        </w:rPr>
        <w:t>20</w:t>
      </w:r>
      <w:r w:rsidRPr="006C4A38">
        <w:rPr>
          <w:rFonts w:ascii="Times New Roman" w:hAnsi="Times New Roman"/>
          <w:b/>
          <w:sz w:val="24"/>
          <w:szCs w:val="24"/>
        </w:rPr>
        <w:t xml:space="preserve">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Республики Казахс</w:t>
      </w:r>
      <w:r>
        <w:rPr>
          <w:rFonts w:ascii="Times New Roman" w:hAnsi="Times New Roman"/>
          <w:b/>
          <w:bCs/>
          <w:sz w:val="24"/>
          <w:szCs w:val="24"/>
        </w:rPr>
        <w:t>тан от 20</w:t>
      </w:r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декабря 2020 года № </w:t>
      </w:r>
      <w:r w:rsidRPr="00FC7F48">
        <w:rPr>
          <w:rFonts w:ascii="Times New Roman" w:hAnsi="Times New Roman"/>
          <w:b/>
          <w:bCs/>
          <w:sz w:val="24"/>
          <w:szCs w:val="24"/>
        </w:rPr>
        <w:t>ҚР ДСМ-282/2020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A7233">
        <w:rPr>
          <w:rFonts w:ascii="Times New Roman" w:hAnsi="Times New Roman"/>
          <w:b/>
          <w:bCs/>
          <w:sz w:val="24"/>
          <w:szCs w:val="24"/>
        </w:rPr>
        <w:t>О</w:t>
      </w:r>
      <w:proofErr w:type="gramEnd"/>
      <w:r w:rsidRPr="006A7233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proofErr w:type="spellStart"/>
      <w:r w:rsidR="00FE2212">
        <w:rPr>
          <w:rFonts w:ascii="Times New Roman" w:hAnsi="Times New Roman"/>
          <w:b/>
          <w:sz w:val="24"/>
          <w:szCs w:val="24"/>
        </w:rPr>
        <w:t>И.о</w:t>
      </w:r>
      <w:proofErr w:type="spellEnd"/>
      <w:r>
        <w:rPr>
          <w:rFonts w:ascii="Times New Roman" w:hAnsi="Times New Roman"/>
          <w:b/>
          <w:sz w:val="24"/>
          <w:szCs w:val="24"/>
          <w:lang w:val="kk-KZ"/>
        </w:rPr>
        <w:t xml:space="preserve">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 xml:space="preserve">я ОГЗ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FE2212">
        <w:rPr>
          <w:rFonts w:ascii="Times New Roman" w:hAnsi="Times New Roman"/>
          <w:b/>
          <w:sz w:val="24"/>
          <w:szCs w:val="24"/>
          <w:lang w:val="kk-KZ"/>
        </w:rPr>
        <w:t>Мединам Б.Д.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554452" w:rsidRPr="00644DE9" w:rsidRDefault="00554452" w:rsidP="00644DE9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pPr w:leftFromText="180" w:rightFromText="180" w:vertAnchor="text" w:horzAnchor="margin" w:tblpY="-169"/>
        <w:tblW w:w="15910" w:type="dxa"/>
        <w:tblLayout w:type="fixed"/>
        <w:tblLook w:val="04A0" w:firstRow="1" w:lastRow="0" w:firstColumn="1" w:lastColumn="0" w:noHBand="0" w:noVBand="1"/>
      </w:tblPr>
      <w:tblGrid>
        <w:gridCol w:w="993"/>
        <w:gridCol w:w="3226"/>
        <w:gridCol w:w="7229"/>
        <w:gridCol w:w="743"/>
        <w:gridCol w:w="850"/>
        <w:gridCol w:w="1276"/>
        <w:gridCol w:w="1593"/>
      </w:tblGrid>
      <w:tr w:rsidR="000E32A5" w:rsidRPr="00DE2EB8" w:rsidTr="00F90CCD">
        <w:trPr>
          <w:trHeight w:val="70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0E32A5" w:rsidRPr="00DE2EB8" w:rsidRDefault="000E32A5" w:rsidP="00F90C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  <w:p w:rsidR="000E32A5" w:rsidRPr="00DE2EB8" w:rsidRDefault="000E32A5" w:rsidP="00F90C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  <w:t xml:space="preserve">  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62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</w:tr>
      <w:tr w:rsidR="000E32A5" w:rsidRPr="00DE2EB8" w:rsidTr="00F90CCD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цефотаксима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DE2EB8">
              <w:rPr>
                <w:rFonts w:ascii="Times New Roman" w:hAnsi="Times New Roman"/>
                <w:b/>
                <w:bCs/>
                <w:sz w:val="18"/>
                <w:szCs w:val="18"/>
              </w:rPr>
              <w:t>50 мкг</w:t>
            </w:r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15 087,00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цефтазидим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10 мкг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15 087,00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цефокситином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30 мкг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14 969,30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цефтриаксона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30 мкг 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22 453,95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цефуроксима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30 мкг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22 453,95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ципрофлоксацин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5 мкг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1 508,70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22 630,50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Диски антибиотиков эритромицина 15 мкг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1 496,93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22 453,95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с оксидазой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2 776,65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16 659,90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с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оптахином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3 424,00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34 240,00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с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противогр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.п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>реп:нистатин,амфотерицин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клотримазол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(100шт/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россия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набор)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Диски антибиотиков (1фл.50шт.)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2 782,00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8 346,00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Железо хлористое (III) 6-вод.</w:t>
            </w:r>
          </w:p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Железо хлористое (III) 6-вод.</w:t>
            </w:r>
          </w:p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2 140,00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1 070,00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Калий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теллурит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2%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Калий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теллурит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2% р-р., 10*5мл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3 145,80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31 458,00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Комплемент сухой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Комплемент сухой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14 124,00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141 240,00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Корине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бак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Питательная среда для выделения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коринебактерий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 инфицированного материала от больных дифтерией,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реконвалесцентов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 носителей – суха</w:t>
            </w:r>
            <w:proofErr w:type="gram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я(</w:t>
            </w:r>
            <w:proofErr w:type="spellStart"/>
            <w:proofErr w:type="gram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Коринебакагар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) 1кг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64 200,00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64 200,00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Лактобак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Питательная среда для выделения и культивирования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лактобацилл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из клинического материала, пищевых молочных продуктов (ЛАКТОБАКАГАР</w:t>
            </w:r>
            <w:proofErr w:type="gram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)-</w:t>
            </w:r>
            <w:proofErr w:type="gram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сухая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64 200,00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64 200,00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Лизин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Лизин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53 500,00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26 750,00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Менингоагар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Менингоагар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62 916,00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62 916,00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Набор реагентов AST GP78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Пластиковые карты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AST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GP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78 для определения чувствительности </w:t>
            </w:r>
            <w:r w:rsidRPr="00DE2EB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Staphylococcus</w:t>
            </w:r>
            <w:r w:rsidRPr="00DE2EB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spp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Pr="00DE2EB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Enterococcus</w:t>
            </w:r>
            <w:r w:rsidRPr="00DE2EB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spp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., </w:t>
            </w:r>
            <w:r w:rsidRPr="00DE2EB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S</w:t>
            </w:r>
            <w:r w:rsidRPr="00DE2EB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DE2EB8">
              <w:rPr>
                <w:rFonts w:ascii="Times New Roman" w:hAnsi="Times New Roman"/>
                <w:i/>
                <w:iCs/>
                <w:color w:val="000000"/>
                <w:sz w:val="18"/>
                <w:szCs w:val="18"/>
                <w:lang w:val="en-US"/>
              </w:rPr>
              <w:t>agalactiae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 антимикробным препаратам при работе на автоматическом микробиологическом анализаторе VITEK 2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Compact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. Карты содержат 64 ячейки, заполненные антибиотиками в различной концентрации (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P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OXSF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CTR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CIP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CM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DAP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E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GM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ICR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LEV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LNZ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MNO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MXF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FT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OX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RA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TE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TGC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SXT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VA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*).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115 988,00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1 159 880,00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Набор реагентов GN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Пластиковые карты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GN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состоящие из 64 ячеек заполненных различными видами биохимических субстратов, для идентификации Грамм негативных микроорганизмов на автоматическом микробиологическом анализаторе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VITEK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Compact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99 831,00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998 310,00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Набор реагентов GP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Пластиковые карты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GP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состоящие из 64 ячеек заполненных различными видами биохимических субстратов, для идентификации Грамм негативных микроорганизмов на автоматическом микробиологическом анализаторе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VITEK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2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Compact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99 831,00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998 310,00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Набор реагентов AST N292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Пластиковые карты AST N292 для определения чувствительности грамотрицательных бактерий к антимикробным препаратам при работе на автоматическом микробиологическом анализаторе VITEK 2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Compact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. Карты содержат 64 ячейки, заполненные антибиотиками в различной концентрации (AN, SAM, ATM, FEP, CAZ, CIP, CS, ETP, GM, IPM, LEV, MEM, MNO, TZP, TCC, TGC, TM, SXT*).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115 988,00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1 159 880,00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Набор реагентов AST N379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Пластиковые карты AST N379 для определения чувствительности грамотрицательных бактерий к антимикробным препаратам при работе на автоматическом микробиологическом анализаторе VITEK 2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Compact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 Карты содержат 64 ячейки, заполненные антибиотиками в различной концентрации (AN, FEP, CTX, CAZ, CIP, ETP, ESBL, FOS, GM, IPM, MEM, FT, TZP, SXT*).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99 833,14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998 331,40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Набор реагентов AST P658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Пластиковые карты AST P658 для определения чувствительности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Staphylococcus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spp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.,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Enterococcus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spp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., S.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agalactiae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к антимикробным препаратам при работе на автоматическом микробиологическом анализаторе VITEK 2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Compact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 Карты содержат 64 ячейки, заполненные антибиотиками в различной концентрации (AM, SAM, CIP, DAP, IPM, HLK, LEV, LNZ, FT, QDA, HLS, TEC, TGC, TMP, SXT, VA*).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151 726,00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1 213 808,00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Набор реагентов AST ST03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Пластиковые карты AST ST03 для определения чувствительности S.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pneumoniae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, β-</w:t>
            </w:r>
            <w:r w:rsidRPr="00DE2EB8">
              <w:rPr>
                <w:rFonts w:ascii="Times New Roman" w:hAnsi="Times New Roman"/>
                <w:sz w:val="18"/>
                <w:szCs w:val="18"/>
              </w:rPr>
              <w:br/>
              <w:t>гемолитических стрептококков и стрептококков</w:t>
            </w:r>
            <w:r w:rsidRPr="00DE2EB8">
              <w:rPr>
                <w:rFonts w:ascii="Times New Roman" w:hAnsi="Times New Roman"/>
                <w:sz w:val="18"/>
                <w:szCs w:val="18"/>
              </w:rPr>
              <w:br/>
              <w:t xml:space="preserve">группы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Streptococcus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viridans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к антимикробным препаратам при работе на автоматическом микробиологическом анализаторе VITEK 2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Compact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 Карты содержат 64 ячейки, заполненные антибиотиками в различной концентрации (AM, P, CTX, CRO, C, CM, E, GM, ICR, LEV, LNZ, MXF, RA, TEC, TE, TGC, SXT, VA*).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170 130,00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170 130,00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Набор реагентов AST YS08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Пластиковые карты AST YS08 для определения чувствительности дрожжей к антимикробным препаратам при работе на автоматическом микробиологическом анализаторе VITEK 2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Compact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 Карты содержат 64 ячейки, заполненные антибиотиками в различной концентрации (AB, CAS, FLU, FCT, MCF, VRC)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153 117,00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1 224 936,00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Пептон ферментативный</w:t>
            </w:r>
          </w:p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Пептон ферментативный</w:t>
            </w:r>
          </w:p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25 894,00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12 947,00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Пептон основной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Пептон основной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68 052,00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34 026,00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Плазма кроличья  </w:t>
            </w:r>
          </w:p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Плазма кроличья цитратная сухая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18 725,00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187 250,00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Среда Вильсона-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Блера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 xml:space="preserve">Используется для выделения и предварительной и идентифкации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Salmonella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typhi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клинических образцах. Пептический перевар животной ткани и говяжий экстракт обеспечивают азотные, углеродистые соединения и другие питательные вещества для роста. Бриллиантовый зеленый краситель препятствует росту всех грамположительных бактерий. Декстроза является ферментируемым углеводом. Сульфат железа является индикатором выделения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H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. Висмут является тяжелым металлом, препятствующим росту большинства грамотрицательных кишечных палочек, за исключением сальмонеллы. Сульфат железа </w:t>
            </w:r>
            <w:proofErr w:type="gram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восстанавливается штаммами 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  <w:lang w:val="en-US"/>
              </w:rPr>
              <w:t>Salmonella</w:t>
            </w: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присутствие указывают</w:t>
            </w:r>
            <w:proofErr w:type="gram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колонии черного цвета.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49 755,00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49 755,00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Клиглера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Клиглера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23 540,00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23 540,00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Среда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Тиоглюколевая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Среда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Тиоглюколевая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64 200,00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128 400,00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Среда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Гисс</w:t>
            </w:r>
            <w:proofErr w:type="gram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а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-</w:t>
            </w:r>
            <w:proofErr w:type="gram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ГРМ с глицерином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Среда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Гисс</w:t>
            </w:r>
            <w:proofErr w:type="gram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а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-</w:t>
            </w:r>
            <w:proofErr w:type="gram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ГРМ с глицерином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26 750,00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6 687,50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Среда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Гисс</w:t>
            </w:r>
            <w:proofErr w:type="gram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а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-</w:t>
            </w:r>
            <w:proofErr w:type="gram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ГРМ с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маннитом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Среда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Гисс</w:t>
            </w:r>
            <w:proofErr w:type="gram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а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-</w:t>
            </w:r>
            <w:proofErr w:type="gram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ГРМ с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маннитом</w:t>
            </w:r>
            <w:proofErr w:type="spell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0,25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26 750,00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6 687,50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Среда Мюллера-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Хинтона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Среда Мюллера-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Хинтона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41 708,60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333 668,80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Сыворотка гемолитическая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Сыворотка гемолитическая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19 024,60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57 073,80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Сыворотка контрольная положительная для диагностики сифилиса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Сыворота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  <w:proofErr w:type="gram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контрольная</w:t>
            </w:r>
            <w:proofErr w:type="gram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положительная для диагностики сифилиса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22 363,00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111 815,00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Сыворотка лошадиная нормальная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Сыворотка лошадиная нормальная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8 239,00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82 390,00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Сульфит натрия (Натрий сернокислый б/в ЧДА)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Сульфит натрия (Натрий сернокислый б/в ЧДА)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0,50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4 617,05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2 308,53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Хромогенная среда</w:t>
            </w:r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CHROMagar</w:t>
            </w:r>
            <w:proofErr w:type="spellEnd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Candida</w:t>
            </w:r>
            <w:proofErr w:type="spellEnd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для выделения и дифференциации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Candida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Spp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Хромогенная среда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CHROMagar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Candida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выделения и дифференциации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Candida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Spp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Основа на 5000 мл готовой среды из Набора сред для выделения, определения и подсчета патогенных микроорганизмов +15+30С Хромогенная среда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CHROMagar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Candida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выделения и дифференциации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Candida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Spp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Основа на 5000 мл готовой среды из Набора сред для выделения, определения и подсчета патогенных микроорганизмов +15+30С</w:t>
            </w:r>
            <w:proofErr w:type="gramEnd"/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239 145,00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239 145,00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Хромогенная среда </w:t>
            </w:r>
            <w:proofErr w:type="spellStart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CHROMagar</w:t>
            </w:r>
            <w:proofErr w:type="spellEnd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Staph</w:t>
            </w:r>
            <w:proofErr w:type="spellEnd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aureus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для выделения и определения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Staphylococcus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aureus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Хромогенная среда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CHROMagar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Staph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aureus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выделения и определения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Staphylococcus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aureus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- Основа на 5000 мл готовой среды из Набора сред для выделения, определения и подсчета патогенных микроорганизмов +15 +30</w:t>
            </w:r>
            <w:proofErr w:type="gram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С</w:t>
            </w:r>
            <w:proofErr w:type="gram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Хромогенная среда для выделения и определения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Staphylococcus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aureus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Spp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. Основа 412,5 г в упаковке для приготовления 5000 мл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179 332,00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358 664,00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eastAsia="BatangChe" w:hAnsi="Times New Roman"/>
                <w:sz w:val="18"/>
                <w:szCs w:val="18"/>
              </w:rPr>
            </w:pPr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Хромогенная среда</w:t>
            </w:r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CHROMagar</w:t>
            </w:r>
            <w:proofErr w:type="spellEnd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 xml:space="preserve">  </w:t>
            </w:r>
            <w:proofErr w:type="spellStart"/>
            <w:r w:rsidRPr="00DE2EB8">
              <w:rPr>
                <w:rFonts w:ascii="Times New Roman" w:eastAsia="BatangChe" w:hAnsi="Times New Roman"/>
                <w:b/>
                <w:bCs/>
                <w:sz w:val="18"/>
                <w:szCs w:val="18"/>
              </w:rPr>
              <w:t>Orientation</w:t>
            </w:r>
            <w:proofErr w:type="spellEnd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 xml:space="preserve"> для выделения  и прямого определения </w:t>
            </w:r>
            <w:proofErr w:type="spellStart"/>
            <w:r w:rsidRPr="00DE2EB8">
              <w:rPr>
                <w:rFonts w:ascii="Times New Roman" w:eastAsia="BatangChe" w:hAnsi="Times New Roman"/>
                <w:sz w:val="18"/>
                <w:szCs w:val="18"/>
              </w:rPr>
              <w:t>уропатогенов</w:t>
            </w:r>
            <w:proofErr w:type="spellEnd"/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Хромогенная среда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CHROMagar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>Orientation</w:t>
            </w:r>
            <w:proofErr w:type="spellEnd"/>
            <w:r w:rsidRPr="00DE2EB8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для выделения и дифференциации патогенов мочевых путей - Основа на 25 л готовой среды из Набора сред для выделения, определения и подсчета патогенных микроорганизмов +15 +30 C Хромогенная среда для выделения и дифференциации патогенов мочевых путей. Основа 825 г в упаковке для приготовления 25 л среды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777 141,00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1 554 282,00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Энтерококкагар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  <w:lang w:val="kk-KZ"/>
              </w:rPr>
              <w:t>Энтерококагар, питательная среда для выделения энтеробактерий сухая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81 320,00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81 320,00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Эритроциты бараньи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Эритроциты барана для постановки 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серологических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реакции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мл.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1 819,00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545 700,00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Азопирам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Набор реагентов для контроля качества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Контроль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предстерилизационной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очистки. Набор предназначен для обнаружения остатков крови, следов  ржавчины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,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стирального порошка ,окислителей на изделиях медицинского назначения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4 292,84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34 342,72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Деконекс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PROZYME  ALKA (Щелочное  энзимное   средство) 5 л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Жидкое щелочное моющее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средство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>рименяемое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для моющих машин .Удаляет остатки питательных сред ,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кровь,белок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. Используется для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предстерилизационной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очистки инструментов</w:t>
            </w:r>
            <w:r w:rsidRPr="00DE2EB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медицинского назначения в канистрах 5 литров.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бут.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61 204,00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367 224,00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Деконекс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26 MINERALACID (Нейтрализующее средство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)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5 л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Жидкое кислотно-нейтрализующее  средство, применяемое 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мощих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машинах. Удаляет остатки щелочных моющих средств в цикле нейтрализации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Ополаскиватель после моющего средства для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предстерилизационной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очистки инструментов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бут.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43 228,00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259 368,00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Деконекс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ENDOMATIC</w:t>
            </w:r>
            <w:r w:rsidR="00F90C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DE2EB8">
              <w:rPr>
                <w:rFonts w:ascii="Times New Roman" w:hAnsi="Times New Roman"/>
                <w:sz w:val="18"/>
                <w:szCs w:val="18"/>
              </w:rPr>
              <w:t>(Дезинфицирующее средство) 5л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Жидкое  рН нейтральное моющее средство.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Предстерилизационная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очистка оптики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бут.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54 998,00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219 992,00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Метиленовый синий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раствор для наружного применения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фл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23 304,60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23 304,60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Набор реагентов д/контроля качества  стер.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Набор реагентов для контроля качества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предстерилизационной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очистки ИМН, для определения следов крови.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4 292,84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21 464,20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Неодишер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  <w:lang w:val="en-US"/>
              </w:rPr>
              <w:t>MediClean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forte(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Медиклеан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) 5 </w:t>
            </w:r>
            <w:r w:rsidRPr="00DE2EB8">
              <w:rPr>
                <w:rFonts w:ascii="Times New Roman" w:hAnsi="Times New Roman"/>
                <w:sz w:val="18"/>
                <w:szCs w:val="18"/>
              </w:rPr>
              <w:t>л</w:t>
            </w:r>
            <w:r w:rsidRPr="00DE2EB8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Жидкое щелочное моющее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средство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,п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>рименяемое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для моющих машин .Удаляет остатки питательных сред ,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кровь,белок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. Используется для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предстерилизационной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очистки инструментов</w:t>
            </w:r>
            <w:r w:rsidRPr="00DE2EB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медицинского назначения в канистрах 5 литров.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бут.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49 600,00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1 388 800,00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Неодишер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MediKlar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(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МедиКлар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)5 л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Жидкое кислотно-нейтрализующее  средство, применяемое в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мощих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машинах. Удаляет остатки щелочных моющих средств в цикле нейтрализации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.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Ополаскиватель после моющего средства для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предстерилизационной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очистки инструментов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бут.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37 800,00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378 000,00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Неодишер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MediZym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(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МедиЦум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) 5 л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Жидкое  рН нейтральное моющее средство.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Предстерилизационная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очистка оптики  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бут.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49 600,00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49 600,00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Неодишер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Н 5 л (кислота)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жидкое кислотное моющее и нейтрализующее средство для использования в специальных моечных машинах. Не содержит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сурфактантов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(ПАВ) и легко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смываетя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; он работает как моющий агент для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кислоторастворимых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остатков, таких как известь и отложений мочевой кислоты, также он используется для нейтрализации остатков щелочных моющих средств.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канистра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56 700,00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226 800,00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Формалин 40% 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Формалин 40%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забуференный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5л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,ф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>иксатор для гистологических и цитологических образцов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канистра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5 350,00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26 750,00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Проточная жидкость BD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FACSFlow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Sheath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Fluid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>, 20 L  +2 +30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С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BD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FACSFlow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Sheath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Fluid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20л </w:t>
            </w:r>
          </w:p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Проточная жидкость для очистки клеточных культур при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цитофлуориметрии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  1 флакон рассчитан на 1015  исследований</w:t>
            </w:r>
          </w:p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42 530,00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85 060,00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PH электрод для  ABL 800  </w:t>
            </w:r>
          </w:p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Цилиндрический корпус, внутри которого находится ионно-чувствительный элемент на </w:t>
            </w:r>
            <w:proofErr w:type="spellStart"/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p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>Н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для анализаторов серии ABL800.</w:t>
            </w:r>
          </w:p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1 708 890,00   </w:t>
            </w:r>
          </w:p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5 126 670</w:t>
            </w:r>
            <w:r w:rsidRPr="00DE2EB8">
              <w:rPr>
                <w:rFonts w:ascii="Times New Roman" w:hAnsi="Times New Roman"/>
                <w:sz w:val="18"/>
                <w:szCs w:val="18"/>
                <w:lang w:val="kk-KZ"/>
              </w:rPr>
              <w:t>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Контроль качества, уровень 2</w:t>
            </w:r>
          </w:p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В каждой упаковке находится 12 пробирок с сухим реагентом, 12 пробирок с дистиллированной водой и  СаCl</w:t>
            </w:r>
            <w:r w:rsidRPr="00DE2EB8">
              <w:rPr>
                <w:rFonts w:ascii="Times New Roman" w:hAnsi="Times New Roman"/>
                <w:sz w:val="18"/>
                <w:szCs w:val="18"/>
                <w:vertAlign w:val="subscript"/>
              </w:rPr>
              <w:t>2</w:t>
            </w:r>
            <w:r w:rsidRPr="00DE2EB8">
              <w:rPr>
                <w:rFonts w:ascii="Times New Roman" w:hAnsi="Times New Roman"/>
                <w:sz w:val="18"/>
                <w:szCs w:val="18"/>
              </w:rPr>
              <w:t xml:space="preserve">  0.2М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50 009,00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50 009,00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Экспресс-тест  FOB д/о скрытой крови в кале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kk-KZ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 xml:space="preserve">FOB Тест -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иммунохроматографическая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тест-система 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для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gramStart"/>
            <w:r w:rsidRPr="00DE2EB8">
              <w:rPr>
                <w:rFonts w:ascii="Times New Roman" w:hAnsi="Times New Roman"/>
                <w:sz w:val="18"/>
                <w:szCs w:val="18"/>
              </w:rPr>
              <w:t>экспресс</w:t>
            </w:r>
            <w:proofErr w:type="gram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 определения скрытой крови в фекальных образцах с целью предварительной диагностики </w:t>
            </w:r>
            <w:proofErr w:type="spellStart"/>
            <w:r w:rsidRPr="00DE2EB8">
              <w:rPr>
                <w:rFonts w:ascii="Times New Roman" w:hAnsi="Times New Roman"/>
                <w:sz w:val="18"/>
                <w:szCs w:val="18"/>
              </w:rPr>
              <w:t>колоректального</w:t>
            </w:r>
            <w:proofErr w:type="spellEnd"/>
            <w:r w:rsidRPr="00DE2EB8">
              <w:rPr>
                <w:rFonts w:ascii="Times New Roman" w:hAnsi="Times New Roman"/>
                <w:sz w:val="18"/>
                <w:szCs w:val="18"/>
              </w:rPr>
              <w:t xml:space="preserve"> рака и инфекционных заболеваний.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0E32A5" w:rsidRPr="00DE2EB8" w:rsidRDefault="000E32A5" w:rsidP="00F90C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E2EB8">
              <w:rPr>
                <w:rFonts w:ascii="Times New Roman" w:hAnsi="Times New Roman"/>
                <w:sz w:val="18"/>
                <w:szCs w:val="18"/>
              </w:rPr>
              <w:t>2 000,0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0E32A5" w:rsidRPr="00DE2EB8" w:rsidRDefault="000E32A5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DE2EB8">
              <w:rPr>
                <w:rFonts w:ascii="Times New Roman" w:hAnsi="Times New Roman"/>
                <w:sz w:val="18"/>
                <w:szCs w:val="18"/>
                <w:lang w:val="en-US"/>
              </w:rPr>
              <w:t>6 000,00</w:t>
            </w:r>
          </w:p>
        </w:tc>
      </w:tr>
      <w:tr w:rsidR="00644DE9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44DE9" w:rsidRPr="00DE2EB8" w:rsidRDefault="00644DE9" w:rsidP="00F90CCD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DE9" w:rsidRPr="00F90CCD" w:rsidRDefault="00644DE9" w:rsidP="00F90C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0CCD">
              <w:rPr>
                <w:rFonts w:ascii="Times New Roman" w:hAnsi="Times New Roman"/>
                <w:sz w:val="20"/>
                <w:szCs w:val="20"/>
              </w:rPr>
              <w:t>Очищающий</w:t>
            </w:r>
            <w:r w:rsidRPr="00F90C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90CCD">
              <w:rPr>
                <w:rFonts w:ascii="Times New Roman" w:hAnsi="Times New Roman"/>
                <w:sz w:val="20"/>
                <w:szCs w:val="20"/>
              </w:rPr>
              <w:t>р</w:t>
            </w:r>
            <w:r w:rsidRPr="00F90CCD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F90CCD">
              <w:rPr>
                <w:rFonts w:ascii="Times New Roman" w:hAnsi="Times New Roman"/>
                <w:sz w:val="20"/>
                <w:szCs w:val="20"/>
              </w:rPr>
              <w:t>р</w:t>
            </w:r>
            <w:r w:rsidRPr="00F90C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50</w:t>
            </w:r>
            <w:r w:rsidRPr="00F90CCD">
              <w:rPr>
                <w:rFonts w:ascii="Times New Roman" w:hAnsi="Times New Roman"/>
                <w:sz w:val="20"/>
                <w:szCs w:val="20"/>
              </w:rPr>
              <w:t>мл</w:t>
            </w:r>
            <w:r w:rsidRPr="00F90CCD">
              <w:rPr>
                <w:rFonts w:ascii="Times New Roman" w:hAnsi="Times New Roman"/>
                <w:sz w:val="20"/>
                <w:szCs w:val="20"/>
                <w:lang w:val="en-US"/>
              </w:rPr>
              <w:t>/</w:t>
            </w:r>
            <w:proofErr w:type="spellStart"/>
            <w:r w:rsidRPr="00F90CCD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F90C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(CELL Clean) </w:t>
            </w:r>
          </w:p>
        </w:tc>
        <w:tc>
          <w:tcPr>
            <w:tcW w:w="7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4DE9" w:rsidRPr="00F90CCD" w:rsidRDefault="00644DE9" w:rsidP="00F90C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90CCD">
              <w:rPr>
                <w:rFonts w:ascii="Times New Roman" w:hAnsi="Times New Roman"/>
                <w:sz w:val="20"/>
                <w:szCs w:val="20"/>
              </w:rPr>
              <w:t xml:space="preserve">Сильнощелочной очиститель  объем 50 мл,  для удаления </w:t>
            </w:r>
            <w:proofErr w:type="spellStart"/>
            <w:r w:rsidRPr="00F90CCD">
              <w:rPr>
                <w:rFonts w:ascii="Times New Roman" w:hAnsi="Times New Roman"/>
                <w:sz w:val="20"/>
                <w:szCs w:val="20"/>
              </w:rPr>
              <w:t>лизирующих</w:t>
            </w:r>
            <w:proofErr w:type="spellEnd"/>
            <w:r w:rsidRPr="00F90CCD">
              <w:rPr>
                <w:rFonts w:ascii="Times New Roman" w:hAnsi="Times New Roman"/>
                <w:sz w:val="20"/>
                <w:szCs w:val="20"/>
              </w:rPr>
              <w:t xml:space="preserve"> реагентов, клеточных остатков и протеинов крови из гидравлической системы прибора. </w:t>
            </w:r>
            <w:proofErr w:type="gramStart"/>
            <w:r w:rsidRPr="00F90CCD">
              <w:rPr>
                <w:rFonts w:ascii="Times New Roman" w:hAnsi="Times New Roman"/>
                <w:sz w:val="20"/>
                <w:szCs w:val="20"/>
              </w:rPr>
              <w:t>Предназначен</w:t>
            </w:r>
            <w:proofErr w:type="gramEnd"/>
            <w:r w:rsidRPr="00F90CCD">
              <w:rPr>
                <w:rFonts w:ascii="Times New Roman" w:hAnsi="Times New Roman"/>
                <w:sz w:val="20"/>
                <w:szCs w:val="20"/>
              </w:rPr>
              <w:t xml:space="preserve"> для использования в гематологических анализаторах компании </w:t>
            </w:r>
            <w:proofErr w:type="spellStart"/>
            <w:r w:rsidRPr="00F90CCD">
              <w:rPr>
                <w:rFonts w:ascii="Times New Roman" w:hAnsi="Times New Roman"/>
                <w:sz w:val="20"/>
                <w:szCs w:val="20"/>
              </w:rPr>
              <w:t>Sysmex</w:t>
            </w:r>
            <w:proofErr w:type="spellEnd"/>
          </w:p>
          <w:p w:rsidR="00644DE9" w:rsidRPr="00F90CCD" w:rsidRDefault="00644DE9" w:rsidP="00F90CC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DE9" w:rsidRPr="00F90CCD" w:rsidRDefault="00644DE9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CD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DE9" w:rsidRPr="00F90CCD" w:rsidRDefault="00644DE9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CD">
              <w:rPr>
                <w:rFonts w:ascii="Times New Roman" w:hAnsi="Times New Roman"/>
                <w:sz w:val="20"/>
                <w:szCs w:val="20"/>
              </w:rPr>
              <w:t>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DE9" w:rsidRPr="00F90CCD" w:rsidRDefault="00644DE9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90CCD">
              <w:rPr>
                <w:rFonts w:ascii="Times New Roman" w:hAnsi="Times New Roman"/>
                <w:sz w:val="20"/>
                <w:szCs w:val="20"/>
              </w:rPr>
              <w:t>42</w:t>
            </w:r>
            <w:r w:rsidRPr="00F90CCD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F90CCD">
              <w:rPr>
                <w:rFonts w:ascii="Times New Roman" w:hAnsi="Times New Roman"/>
                <w:sz w:val="20"/>
                <w:szCs w:val="20"/>
              </w:rPr>
              <w:t>700,0</w:t>
            </w:r>
            <w:r w:rsidRPr="00F90CCD">
              <w:rPr>
                <w:rFonts w:ascii="Times New Roman" w:hAnsi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4DE9" w:rsidRPr="00F90CCD" w:rsidRDefault="00644DE9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44DE9" w:rsidRPr="00F90CCD" w:rsidRDefault="00644DE9" w:rsidP="00F90CC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90CCD">
              <w:rPr>
                <w:rFonts w:ascii="Times New Roman" w:hAnsi="Times New Roman"/>
                <w:sz w:val="20"/>
                <w:szCs w:val="20"/>
              </w:rPr>
              <w:t>128 100,00</w:t>
            </w:r>
          </w:p>
        </w:tc>
      </w:tr>
      <w:tr w:rsidR="000E32A5" w:rsidRPr="00DE2EB8" w:rsidTr="00F90CCD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32A5" w:rsidRPr="00DE2EB8" w:rsidRDefault="000E32A5" w:rsidP="00F90CCD">
            <w:pPr>
              <w:spacing w:after="0" w:line="240" w:lineRule="auto"/>
              <w:ind w:left="720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F90CCD" w:rsidRDefault="000E32A5" w:rsidP="00F90CC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E32A5" w:rsidRPr="00F90CCD" w:rsidRDefault="000E32A5" w:rsidP="00F90CC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F90CCD" w:rsidRDefault="000E32A5" w:rsidP="00F90CC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F90CCD" w:rsidRDefault="000E32A5" w:rsidP="00F90CC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F90CCD" w:rsidRDefault="000E32A5" w:rsidP="00F90CCD">
            <w:pPr>
              <w:pStyle w:val="a4"/>
              <w:rPr>
                <w:rFonts w:ascii="Times New Roman" w:hAnsi="Times New Roman"/>
                <w:sz w:val="18"/>
                <w:szCs w:val="18"/>
                <w:lang w:val="kk-KZ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E32A5" w:rsidRPr="00F90CCD" w:rsidRDefault="00F90CCD" w:rsidP="00F90CCD">
            <w:pPr>
              <w:pStyle w:val="a4"/>
              <w:rPr>
                <w:rFonts w:ascii="Times New Roman" w:hAnsi="Times New Roman"/>
                <w:b/>
                <w:sz w:val="18"/>
                <w:szCs w:val="18"/>
              </w:rPr>
            </w:pPr>
            <w:r w:rsidRPr="00F90CCD">
              <w:rPr>
                <w:rFonts w:ascii="Times New Roman" w:hAnsi="Times New Roman"/>
                <w:b/>
                <w:sz w:val="18"/>
                <w:szCs w:val="18"/>
              </w:rPr>
              <w:t>21 075 609,6</w:t>
            </w:r>
          </w:p>
        </w:tc>
      </w:tr>
    </w:tbl>
    <w:p w:rsidR="00D008A2" w:rsidRPr="00FE2212" w:rsidRDefault="00D008A2">
      <w:pPr>
        <w:rPr>
          <w:rFonts w:ascii="Times New Roman" w:hAnsi="Times New Roman"/>
          <w:b/>
          <w:sz w:val="20"/>
          <w:szCs w:val="18"/>
          <w:lang w:val="kk-KZ"/>
        </w:rPr>
      </w:pPr>
    </w:p>
    <w:p w:rsidR="00500E24" w:rsidRDefault="00500E24" w:rsidP="00D008A2">
      <w:pPr>
        <w:jc w:val="center"/>
        <w:rPr>
          <w:rFonts w:ascii="Times New Roman" w:hAnsi="Times New Roman"/>
          <w:b/>
          <w:szCs w:val="18"/>
          <w:lang w:val="kk-KZ"/>
        </w:rPr>
      </w:pPr>
    </w:p>
    <w:p w:rsidR="00D008A2" w:rsidRPr="00FE2212" w:rsidRDefault="00FE2212" w:rsidP="00D008A2">
      <w:pPr>
        <w:jc w:val="center"/>
        <w:rPr>
          <w:rFonts w:ascii="Times New Roman" w:hAnsi="Times New Roman"/>
          <w:b/>
          <w:szCs w:val="18"/>
          <w:lang w:val="kk-KZ"/>
        </w:rPr>
      </w:pPr>
      <w:r w:rsidRPr="00FE2212">
        <w:rPr>
          <w:rFonts w:ascii="Times New Roman" w:hAnsi="Times New Roman"/>
          <w:b/>
          <w:szCs w:val="18"/>
          <w:lang w:val="kk-KZ"/>
        </w:rPr>
        <w:t>И.о Руководителя</w:t>
      </w:r>
      <w:r w:rsidR="00D008A2" w:rsidRPr="00FE2212">
        <w:rPr>
          <w:rFonts w:ascii="Times New Roman" w:hAnsi="Times New Roman"/>
          <w:b/>
          <w:szCs w:val="18"/>
          <w:lang w:val="kk-KZ"/>
        </w:rPr>
        <w:t xml:space="preserve"> ОГЗ                                                                                      </w:t>
      </w:r>
      <w:r w:rsidRPr="00FE2212">
        <w:rPr>
          <w:rFonts w:ascii="Times New Roman" w:hAnsi="Times New Roman"/>
          <w:b/>
          <w:szCs w:val="18"/>
          <w:lang w:val="kk-KZ"/>
        </w:rPr>
        <w:t>Мединам Б.Д.</w:t>
      </w:r>
    </w:p>
    <w:p w:rsidR="00D008A2" w:rsidRPr="009B162D" w:rsidRDefault="00D008A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D008A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6F2" w:rsidRDefault="000C46F2" w:rsidP="004C5CD1">
      <w:pPr>
        <w:spacing w:after="0" w:line="240" w:lineRule="auto"/>
      </w:pPr>
      <w:r>
        <w:separator/>
      </w:r>
    </w:p>
  </w:endnote>
  <w:end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charset w:val="01"/>
    <w:family w:val="auto"/>
    <w:pitch w:val="variable"/>
  </w:font>
  <w:font w:name="Lohit Devanagari">
    <w:altName w:val="Calibri"/>
    <w:charset w:val="01"/>
    <w:family w:val="auto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nion Pro">
    <w:altName w:val="Cambria"/>
    <w:charset w:val="01"/>
    <w:family w:val="roman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6F2" w:rsidRDefault="000C46F2" w:rsidP="004C5CD1">
      <w:pPr>
        <w:spacing w:after="0" w:line="240" w:lineRule="auto"/>
      </w:pPr>
      <w:r>
        <w:separator/>
      </w:r>
    </w:p>
  </w:footnote>
  <w:footnote w:type="continuationSeparator" w:id="0">
    <w:p w:rsidR="000C46F2" w:rsidRDefault="000C46F2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6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43219"/>
    <w:rsid w:val="00045CC4"/>
    <w:rsid w:val="00056CCE"/>
    <w:rsid w:val="00062204"/>
    <w:rsid w:val="0007443C"/>
    <w:rsid w:val="0009302B"/>
    <w:rsid w:val="000A340B"/>
    <w:rsid w:val="000C2E74"/>
    <w:rsid w:val="000C46F2"/>
    <w:rsid w:val="000C6845"/>
    <w:rsid w:val="000D3B1D"/>
    <w:rsid w:val="000D6A08"/>
    <w:rsid w:val="000E2309"/>
    <w:rsid w:val="000E28B9"/>
    <w:rsid w:val="000E32A5"/>
    <w:rsid w:val="000E7C82"/>
    <w:rsid w:val="000F6DA5"/>
    <w:rsid w:val="00101BCA"/>
    <w:rsid w:val="001058FC"/>
    <w:rsid w:val="001242AC"/>
    <w:rsid w:val="00130904"/>
    <w:rsid w:val="00130D4C"/>
    <w:rsid w:val="00141640"/>
    <w:rsid w:val="0014328D"/>
    <w:rsid w:val="001432FF"/>
    <w:rsid w:val="001475F2"/>
    <w:rsid w:val="00147903"/>
    <w:rsid w:val="00150B96"/>
    <w:rsid w:val="0016117A"/>
    <w:rsid w:val="001655DC"/>
    <w:rsid w:val="00165F84"/>
    <w:rsid w:val="001811BE"/>
    <w:rsid w:val="0018153F"/>
    <w:rsid w:val="00194F87"/>
    <w:rsid w:val="001A0024"/>
    <w:rsid w:val="001A5ED1"/>
    <w:rsid w:val="001A727B"/>
    <w:rsid w:val="001D04ED"/>
    <w:rsid w:val="001E1468"/>
    <w:rsid w:val="001E74B1"/>
    <w:rsid w:val="001F3ECF"/>
    <w:rsid w:val="002140A7"/>
    <w:rsid w:val="00214747"/>
    <w:rsid w:val="0021779F"/>
    <w:rsid w:val="002275FB"/>
    <w:rsid w:val="002458C0"/>
    <w:rsid w:val="0026323B"/>
    <w:rsid w:val="002645AF"/>
    <w:rsid w:val="00264B9A"/>
    <w:rsid w:val="00270E9C"/>
    <w:rsid w:val="00277815"/>
    <w:rsid w:val="00285FB4"/>
    <w:rsid w:val="002975E9"/>
    <w:rsid w:val="002A7145"/>
    <w:rsid w:val="002B3B5E"/>
    <w:rsid w:val="002D0314"/>
    <w:rsid w:val="002E2503"/>
    <w:rsid w:val="00306AF3"/>
    <w:rsid w:val="00312B86"/>
    <w:rsid w:val="00324602"/>
    <w:rsid w:val="00350C6B"/>
    <w:rsid w:val="00362820"/>
    <w:rsid w:val="00372A86"/>
    <w:rsid w:val="00373411"/>
    <w:rsid w:val="00373A28"/>
    <w:rsid w:val="003933EF"/>
    <w:rsid w:val="00393C33"/>
    <w:rsid w:val="003A0DD7"/>
    <w:rsid w:val="003A4E84"/>
    <w:rsid w:val="003B7204"/>
    <w:rsid w:val="003B77B3"/>
    <w:rsid w:val="003C433F"/>
    <w:rsid w:val="003C557A"/>
    <w:rsid w:val="003E4B19"/>
    <w:rsid w:val="003F4C64"/>
    <w:rsid w:val="004079D8"/>
    <w:rsid w:val="00412EA3"/>
    <w:rsid w:val="00424E5B"/>
    <w:rsid w:val="00434E3E"/>
    <w:rsid w:val="0044094F"/>
    <w:rsid w:val="00450611"/>
    <w:rsid w:val="004679F0"/>
    <w:rsid w:val="00470967"/>
    <w:rsid w:val="00475AC5"/>
    <w:rsid w:val="004849FF"/>
    <w:rsid w:val="00487157"/>
    <w:rsid w:val="004A31E3"/>
    <w:rsid w:val="004B4EFD"/>
    <w:rsid w:val="004C5CD1"/>
    <w:rsid w:val="004D4DE8"/>
    <w:rsid w:val="004D4E8A"/>
    <w:rsid w:val="004E48B6"/>
    <w:rsid w:val="004E64D1"/>
    <w:rsid w:val="004F13B2"/>
    <w:rsid w:val="004F5AA0"/>
    <w:rsid w:val="00500E24"/>
    <w:rsid w:val="0050195D"/>
    <w:rsid w:val="0050412A"/>
    <w:rsid w:val="00523A10"/>
    <w:rsid w:val="005250CB"/>
    <w:rsid w:val="005269D6"/>
    <w:rsid w:val="0052782B"/>
    <w:rsid w:val="00533883"/>
    <w:rsid w:val="00537D1F"/>
    <w:rsid w:val="00547ADD"/>
    <w:rsid w:val="00554452"/>
    <w:rsid w:val="0057747D"/>
    <w:rsid w:val="005A0993"/>
    <w:rsid w:val="005C424E"/>
    <w:rsid w:val="005C7A8E"/>
    <w:rsid w:val="005D1668"/>
    <w:rsid w:val="005D657F"/>
    <w:rsid w:val="005E0B26"/>
    <w:rsid w:val="005F7327"/>
    <w:rsid w:val="0060714D"/>
    <w:rsid w:val="006232AE"/>
    <w:rsid w:val="00632BC5"/>
    <w:rsid w:val="00633B7E"/>
    <w:rsid w:val="006367E1"/>
    <w:rsid w:val="00644DE9"/>
    <w:rsid w:val="00660ADA"/>
    <w:rsid w:val="00665022"/>
    <w:rsid w:val="00683416"/>
    <w:rsid w:val="00691780"/>
    <w:rsid w:val="00692ED1"/>
    <w:rsid w:val="00693996"/>
    <w:rsid w:val="006978A5"/>
    <w:rsid w:val="006A7D4A"/>
    <w:rsid w:val="006C4A38"/>
    <w:rsid w:val="006E24F4"/>
    <w:rsid w:val="006F1D05"/>
    <w:rsid w:val="006F3FAC"/>
    <w:rsid w:val="00705929"/>
    <w:rsid w:val="00706DE0"/>
    <w:rsid w:val="0073484F"/>
    <w:rsid w:val="007352DD"/>
    <w:rsid w:val="007356F1"/>
    <w:rsid w:val="00741138"/>
    <w:rsid w:val="00767784"/>
    <w:rsid w:val="0077000A"/>
    <w:rsid w:val="00770840"/>
    <w:rsid w:val="00773C3E"/>
    <w:rsid w:val="0078648F"/>
    <w:rsid w:val="00792A8E"/>
    <w:rsid w:val="007A0FAB"/>
    <w:rsid w:val="007B3149"/>
    <w:rsid w:val="007D5112"/>
    <w:rsid w:val="007D55A0"/>
    <w:rsid w:val="00820D89"/>
    <w:rsid w:val="00836530"/>
    <w:rsid w:val="008612E5"/>
    <w:rsid w:val="00865352"/>
    <w:rsid w:val="00865917"/>
    <w:rsid w:val="008827F4"/>
    <w:rsid w:val="008900C5"/>
    <w:rsid w:val="008934B8"/>
    <w:rsid w:val="00895CFE"/>
    <w:rsid w:val="008A1446"/>
    <w:rsid w:val="008A2D25"/>
    <w:rsid w:val="008A6C07"/>
    <w:rsid w:val="008B0D60"/>
    <w:rsid w:val="008C22BD"/>
    <w:rsid w:val="008C4749"/>
    <w:rsid w:val="008D7DAA"/>
    <w:rsid w:val="008F008D"/>
    <w:rsid w:val="0090063B"/>
    <w:rsid w:val="0094033F"/>
    <w:rsid w:val="0094361B"/>
    <w:rsid w:val="009442C7"/>
    <w:rsid w:val="00960D13"/>
    <w:rsid w:val="00972BA5"/>
    <w:rsid w:val="00976826"/>
    <w:rsid w:val="00985F72"/>
    <w:rsid w:val="00990AEA"/>
    <w:rsid w:val="009974C8"/>
    <w:rsid w:val="009B162D"/>
    <w:rsid w:val="009C0F7E"/>
    <w:rsid w:val="009C1E98"/>
    <w:rsid w:val="009C4177"/>
    <w:rsid w:val="009E31F8"/>
    <w:rsid w:val="00A003D0"/>
    <w:rsid w:val="00A00B18"/>
    <w:rsid w:val="00A03063"/>
    <w:rsid w:val="00A22A80"/>
    <w:rsid w:val="00A3375B"/>
    <w:rsid w:val="00A41E9F"/>
    <w:rsid w:val="00A5290A"/>
    <w:rsid w:val="00A551D8"/>
    <w:rsid w:val="00A563C2"/>
    <w:rsid w:val="00A635BF"/>
    <w:rsid w:val="00A72A6B"/>
    <w:rsid w:val="00A847D3"/>
    <w:rsid w:val="00A86DD6"/>
    <w:rsid w:val="00A93A3E"/>
    <w:rsid w:val="00A93C6A"/>
    <w:rsid w:val="00A9494A"/>
    <w:rsid w:val="00AA234E"/>
    <w:rsid w:val="00AA256B"/>
    <w:rsid w:val="00AA2E81"/>
    <w:rsid w:val="00AA4B83"/>
    <w:rsid w:val="00AB3572"/>
    <w:rsid w:val="00AC0EDD"/>
    <w:rsid w:val="00AC4210"/>
    <w:rsid w:val="00AC5D94"/>
    <w:rsid w:val="00AE5724"/>
    <w:rsid w:val="00AE7DD8"/>
    <w:rsid w:val="00B03298"/>
    <w:rsid w:val="00B1010B"/>
    <w:rsid w:val="00B10AED"/>
    <w:rsid w:val="00B17A13"/>
    <w:rsid w:val="00B2137E"/>
    <w:rsid w:val="00B228DF"/>
    <w:rsid w:val="00B24A11"/>
    <w:rsid w:val="00B473FC"/>
    <w:rsid w:val="00B60805"/>
    <w:rsid w:val="00B67B9A"/>
    <w:rsid w:val="00B71BB9"/>
    <w:rsid w:val="00B83C3E"/>
    <w:rsid w:val="00B84BDF"/>
    <w:rsid w:val="00B855C0"/>
    <w:rsid w:val="00B867CC"/>
    <w:rsid w:val="00B872C0"/>
    <w:rsid w:val="00B9294D"/>
    <w:rsid w:val="00B92E3D"/>
    <w:rsid w:val="00B9474D"/>
    <w:rsid w:val="00B9500A"/>
    <w:rsid w:val="00BA4DB8"/>
    <w:rsid w:val="00BB68F2"/>
    <w:rsid w:val="00BC744D"/>
    <w:rsid w:val="00BE4BD9"/>
    <w:rsid w:val="00BF48F0"/>
    <w:rsid w:val="00C02A47"/>
    <w:rsid w:val="00C052D4"/>
    <w:rsid w:val="00C07B7A"/>
    <w:rsid w:val="00C67357"/>
    <w:rsid w:val="00C7665D"/>
    <w:rsid w:val="00C91D54"/>
    <w:rsid w:val="00CA297E"/>
    <w:rsid w:val="00CB4F2C"/>
    <w:rsid w:val="00CB65B6"/>
    <w:rsid w:val="00CC0B1D"/>
    <w:rsid w:val="00CC205A"/>
    <w:rsid w:val="00CC2F9A"/>
    <w:rsid w:val="00CC6693"/>
    <w:rsid w:val="00CD6383"/>
    <w:rsid w:val="00CE618F"/>
    <w:rsid w:val="00CF3569"/>
    <w:rsid w:val="00CF69A3"/>
    <w:rsid w:val="00CF7B29"/>
    <w:rsid w:val="00D008A2"/>
    <w:rsid w:val="00D00991"/>
    <w:rsid w:val="00D10F34"/>
    <w:rsid w:val="00D320ED"/>
    <w:rsid w:val="00D7552D"/>
    <w:rsid w:val="00D77EA8"/>
    <w:rsid w:val="00D87F1B"/>
    <w:rsid w:val="00D9404B"/>
    <w:rsid w:val="00D96013"/>
    <w:rsid w:val="00DA1117"/>
    <w:rsid w:val="00DA2429"/>
    <w:rsid w:val="00DD1BD4"/>
    <w:rsid w:val="00DD4191"/>
    <w:rsid w:val="00DF5859"/>
    <w:rsid w:val="00E03010"/>
    <w:rsid w:val="00E141E2"/>
    <w:rsid w:val="00E258F6"/>
    <w:rsid w:val="00E3306F"/>
    <w:rsid w:val="00E579E8"/>
    <w:rsid w:val="00E731B5"/>
    <w:rsid w:val="00E745CB"/>
    <w:rsid w:val="00E854BB"/>
    <w:rsid w:val="00E91667"/>
    <w:rsid w:val="00EB1658"/>
    <w:rsid w:val="00EC03A0"/>
    <w:rsid w:val="00EC25B3"/>
    <w:rsid w:val="00EC4999"/>
    <w:rsid w:val="00ED0FAA"/>
    <w:rsid w:val="00F05B0C"/>
    <w:rsid w:val="00F07FBD"/>
    <w:rsid w:val="00F2129A"/>
    <w:rsid w:val="00F2263B"/>
    <w:rsid w:val="00F33B3C"/>
    <w:rsid w:val="00F4532E"/>
    <w:rsid w:val="00F474D2"/>
    <w:rsid w:val="00F47E66"/>
    <w:rsid w:val="00F51290"/>
    <w:rsid w:val="00F52B93"/>
    <w:rsid w:val="00F57C08"/>
    <w:rsid w:val="00F675F4"/>
    <w:rsid w:val="00F81607"/>
    <w:rsid w:val="00F9001C"/>
    <w:rsid w:val="00F90CCD"/>
    <w:rsid w:val="00F95E4C"/>
    <w:rsid w:val="00FA600A"/>
    <w:rsid w:val="00FC199A"/>
    <w:rsid w:val="00FC5E32"/>
    <w:rsid w:val="00FD6722"/>
    <w:rsid w:val="00FE2212"/>
    <w:rsid w:val="00FE56F9"/>
    <w:rsid w:val="00FE6666"/>
    <w:rsid w:val="00FE7286"/>
    <w:rsid w:val="00FF26FB"/>
    <w:rsid w:val="00FF4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rsid w:val="00B228DF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paragraph" w:customStyle="1" w:styleId="af">
    <w:name w:val="Содержимое таблицы"/>
    <w:basedOn w:val="a"/>
    <w:rsid w:val="004F5AA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1"/>
      <w:sz w:val="24"/>
      <w:szCs w:val="24"/>
      <w:lang w:eastAsia="zh-CN" w:bidi="hi-IN"/>
    </w:rPr>
  </w:style>
  <w:style w:type="paragraph" w:customStyle="1" w:styleId="11">
    <w:name w:val="Текст1"/>
    <w:basedOn w:val="a"/>
    <w:rsid w:val="004F5AA0"/>
    <w:pPr>
      <w:widowControl w:val="0"/>
      <w:suppressAutoHyphens/>
      <w:spacing w:after="57" w:line="240" w:lineRule="atLeast"/>
      <w:ind w:firstLine="454"/>
      <w:jc w:val="both"/>
      <w:textAlignment w:val="center"/>
    </w:pPr>
    <w:rPr>
      <w:rFonts w:ascii="Century Schoolbook" w:eastAsia="Noto Sans CJK SC" w:hAnsi="Century Schoolbook" w:cs="Century Schoolbook"/>
      <w:color w:val="000000"/>
      <w:kern w:val="1"/>
      <w:sz w:val="20"/>
      <w:szCs w:val="20"/>
      <w:lang w:eastAsia="zh-CN" w:bidi="hi-IN"/>
    </w:rPr>
  </w:style>
  <w:style w:type="paragraph" w:customStyle="1" w:styleId="af0">
    <w:name w:val="[Основной абзац]"/>
    <w:basedOn w:val="a"/>
    <w:rsid w:val="004F5AA0"/>
    <w:pPr>
      <w:widowControl w:val="0"/>
      <w:suppressAutoHyphens/>
      <w:spacing w:after="0" w:line="288" w:lineRule="auto"/>
      <w:textAlignment w:val="center"/>
    </w:pPr>
    <w:rPr>
      <w:rFonts w:ascii="Minion Pro" w:eastAsia="Noto Sans CJK SC" w:hAnsi="Minion Pro" w:cs="Minion Pro"/>
      <w:color w:val="000000"/>
      <w:kern w:val="1"/>
      <w:sz w:val="24"/>
      <w:szCs w:val="24"/>
      <w:lang w:eastAsia="zh-CN" w:bidi="hi-IN"/>
    </w:rPr>
  </w:style>
  <w:style w:type="character" w:customStyle="1" w:styleId="a5">
    <w:name w:val="Без интервала Знак"/>
    <w:link w:val="a4"/>
    <w:uiPriority w:val="1"/>
    <w:rsid w:val="00B228DF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39BBCD-44F0-4B30-8C89-7387D04DA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6</Pages>
  <Words>2248</Words>
  <Characters>12816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37</cp:revision>
  <cp:lastPrinted>2021-02-25T06:02:00Z</cp:lastPrinted>
  <dcterms:created xsi:type="dcterms:W3CDTF">2020-09-02T05:24:00Z</dcterms:created>
  <dcterms:modified xsi:type="dcterms:W3CDTF">2021-02-25T06:08:00Z</dcterms:modified>
</cp:coreProperties>
</file>