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F2FD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18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407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31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7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07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5862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7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07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bookmarkStart w:id="0" w:name="_GoBack"/>
      <w:bookmarkEnd w:id="0"/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407BE" w:rsidRPr="003572E7" w:rsidTr="00794427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Polystyrene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tubes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12х75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mm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6F20">
              <w:rPr>
                <w:rFonts w:ascii="Times New Roman" w:hAnsi="Times New Roman"/>
                <w:sz w:val="20"/>
                <w:szCs w:val="20"/>
              </w:rPr>
              <w:t xml:space="preserve">Пластиковые пробирки для приготовления суспензии микроорганизмов при работе по идентификации и определению чувствительности микроорганизмов на автоматическом микробиологическом анализаторе </w:t>
            </w:r>
            <w:r w:rsidRPr="00EA4ABB">
              <w:rPr>
                <w:rFonts w:ascii="Times New Roman" w:hAnsi="Times New Roman"/>
                <w:sz w:val="20"/>
                <w:szCs w:val="20"/>
              </w:rPr>
              <w:t>VITEK</w:t>
            </w:r>
            <w:r w:rsidRPr="00E36F20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Compact</w:t>
            </w:r>
            <w:proofErr w:type="spellEnd"/>
            <w:r w:rsidRPr="00E36F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A4ABB">
              <w:rPr>
                <w:rFonts w:ascii="Times New Roman" w:hAnsi="Times New Roman"/>
                <w:sz w:val="20"/>
                <w:szCs w:val="20"/>
              </w:rPr>
              <w:t xml:space="preserve">2000 </w:t>
            </w:r>
            <w:proofErr w:type="spellStart"/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в упаковке.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139 400,00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139 400,00</w:t>
            </w:r>
          </w:p>
        </w:tc>
      </w:tr>
      <w:tr w:rsidR="002407BE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3572E7" w:rsidRDefault="002407BE" w:rsidP="003E4B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Игла стерильная для пересева субкультур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Subculture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Стерильные иглы для выполнения пересева материала из положительных флаконов с целью дальнейшей идентификации микроорганизмов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161 000,00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322 000,00</w:t>
            </w:r>
          </w:p>
        </w:tc>
      </w:tr>
      <w:tr w:rsidR="002407BE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Индикатор Интест-П-120/45, №1000 тестов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Индикатор Интест-П-120/45, №1000 тестов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5 264,40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5 264,40</w:t>
            </w:r>
          </w:p>
        </w:tc>
      </w:tr>
      <w:tr w:rsidR="002407BE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Индикатор Интест-П-121/20, №1000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Индикатор Интест-П-121/20, №1000 тестов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5 264,40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52 644,00</w:t>
            </w:r>
          </w:p>
        </w:tc>
      </w:tr>
      <w:tr w:rsidR="002407BE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3572E7" w:rsidRDefault="002407BE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Индикатор Интест-П-132/20, №1000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Индикатор Интест-П-132/20, №1000 тестов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5 266,54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5 266,54</w:t>
            </w:r>
          </w:p>
        </w:tc>
      </w:tr>
      <w:tr w:rsidR="002407BE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3572E7" w:rsidRDefault="002407BE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Инкубационные флаконы BACT/ALERT FA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из комплекта Автоматический бактериологический анализатор культур крови и микобактерий 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Combo,t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 +15 +30 С (100 </w:t>
            </w:r>
            <w:proofErr w:type="spellStart"/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A4A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) (100х30мл)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Пластиковые флаконы с питательной средой и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адсорбирущими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полимерными гранулами для определения анаэробной флоры  при работе на бактериологическом анализаторе культур крови и микобактерий 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Combo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A4ABB">
              <w:rPr>
                <w:rFonts w:ascii="Times New Roman" w:hAnsi="Times New Roman"/>
                <w:sz w:val="20"/>
                <w:szCs w:val="20"/>
              </w:rPr>
              <w:t>(100х30мл)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397 000,00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1 191 000,00</w:t>
            </w:r>
          </w:p>
        </w:tc>
      </w:tr>
      <w:tr w:rsidR="002407BE" w:rsidRPr="003572E7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Инкубационные флаконы BACT/ALERT FN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из комплекта Автоматический бактериологический анализатор культур крови и микобактерий 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Combo,t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 +15 +30 С (100 </w:t>
            </w:r>
            <w:proofErr w:type="spellStart"/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A4A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) (100х30мл)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Пластиковые флаконы с питательной средой и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адсорбирущими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полимерными гранулами для определения аэробной флоры  при работе на бактериологическом анализаторе культур крови и микобактерий 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Combo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A4ABB">
              <w:rPr>
                <w:rFonts w:ascii="Times New Roman" w:hAnsi="Times New Roman"/>
                <w:sz w:val="20"/>
                <w:szCs w:val="20"/>
              </w:rPr>
              <w:t>(100х30мл)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397 000,00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794 000,00</w:t>
            </w:r>
          </w:p>
        </w:tc>
      </w:tr>
      <w:tr w:rsidR="002407BE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3572E7" w:rsidRDefault="002407BE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Инкубационные флаконы BACT/ALERT PF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из комплекта Автоматический бактериологический анализатор культур крови и микобактерий 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Combo,t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 +15 +30 С (100 </w:t>
            </w:r>
            <w:proofErr w:type="spellStart"/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A4A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) (100х30мл)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Пластиковые флаконы с питательной средой и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адсорбирущими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полимерными гранулами для определения аэробной и факультативно анаэробной флоры  в педиатрических образцах при работе на бактериологическом анализаторе культур крови и микобактерий 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BacT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Alert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3D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Combo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A4ABB">
              <w:rPr>
                <w:rFonts w:ascii="Times New Roman" w:hAnsi="Times New Roman"/>
                <w:sz w:val="20"/>
                <w:szCs w:val="20"/>
              </w:rPr>
              <w:t>(100х30мл)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397 000,00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1 191 000,00</w:t>
            </w:r>
          </w:p>
        </w:tc>
      </w:tr>
      <w:tr w:rsidR="002407BE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Карандаш лабораторный для маркировки лабораторного стекла и фарфора (70 мм)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карандаш лабораторный для маркировки лабораторного стекла и фарфора (70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46 000,00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460 000,00</w:t>
            </w:r>
          </w:p>
        </w:tc>
      </w:tr>
      <w:tr w:rsidR="002407BE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Контейнер для биологического материала 100 мл стерильный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Контейнер  для биологического материала 100 мл стерильный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2407BE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Контейнер для сбора кала 30 мл стерильный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Контейнер для сбора кала 30 мл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31,03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31 030,00</w:t>
            </w:r>
          </w:p>
        </w:tc>
      </w:tr>
      <w:tr w:rsidR="002407BE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Наконечник к доз.0,5-250мкл  PIPPETTE TIPS (</w:t>
            </w:r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желтые</w:t>
            </w:r>
            <w:proofErr w:type="gramEnd"/>
            <w:r w:rsidRPr="00EA4AB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Наконечники для дозатора 0,5-250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для работы по определению чувствительности микроорганизмов на автоматическом микробиологическом анализаторе VITEK 2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Compact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(96 штук в упаковке).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448 000,00</w:t>
            </w:r>
          </w:p>
        </w:tc>
      </w:tr>
      <w:tr w:rsidR="002407BE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Наконечники для дозатора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Pipette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Tips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100 - 1000 µl (синие)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Наконечники для дозатора 100-1000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для работы по определению чувствительности микроорганизмов на автоматическом микробиологическом </w:t>
            </w:r>
            <w:r w:rsidRPr="00EA4A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анализаторе VITEK 2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Compact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>. 96 штук в упаковке.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224 000,00</w:t>
            </w:r>
          </w:p>
        </w:tc>
      </w:tr>
      <w:tr w:rsidR="002407BE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Пипетка мерная стеклянная 1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Пипетка мерная стеклянная 1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</w:tr>
      <w:tr w:rsidR="002407BE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Пробирка ПБ-14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 Пробирка ПБ-1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EA4ABB">
              <w:rPr>
                <w:rFonts w:ascii="Times New Roman" w:hAnsi="Times New Roman"/>
                <w:sz w:val="20"/>
                <w:szCs w:val="20"/>
              </w:rPr>
              <w:t xml:space="preserve"> (биологическая) стеклянная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14*120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19,26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9 630,00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Пробирка ПБ-16-160 (биологическая) стеклянная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Пробирка ПБ-16-160 (биологическая) стеклянная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68 480,00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Спиртовка стеклянная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Спиртовка стеклянная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67 000,00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Тампон из хлопка 2,5*150мм пластиковая ручка  в индивидуальной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упаковке</w:t>
            </w:r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EA4ABB">
              <w:rPr>
                <w:rFonts w:ascii="Times New Roman" w:hAnsi="Times New Roman"/>
                <w:sz w:val="20"/>
                <w:szCs w:val="20"/>
              </w:rPr>
              <w:t>терильный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Тампон из хлопка 2,5*150мм пластиковая ручка  в индивидуальной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упаковке</w:t>
            </w:r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EA4ABB">
              <w:rPr>
                <w:rFonts w:ascii="Times New Roman" w:hAnsi="Times New Roman"/>
                <w:sz w:val="20"/>
                <w:szCs w:val="20"/>
              </w:rPr>
              <w:t>терильный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Тампон с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пласт</w:t>
            </w:r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A4ABB">
              <w:rPr>
                <w:rFonts w:ascii="Times New Roman" w:hAnsi="Times New Roman"/>
                <w:sz w:val="20"/>
                <w:szCs w:val="20"/>
              </w:rPr>
              <w:t>учкой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с вискозным наконечником в транспортной пробирке 12*150мм с транспортной средой (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срела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Amies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>) в индивидуальной упаковке (стерильный)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Тампон с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пласт</w:t>
            </w:r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A4ABB">
              <w:rPr>
                <w:rFonts w:ascii="Times New Roman" w:hAnsi="Times New Roman"/>
                <w:sz w:val="20"/>
                <w:szCs w:val="20"/>
              </w:rPr>
              <w:t>учкой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с вискозным наконечником в транспортной пробирке 12*150мм с транспортной средой (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срела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Amies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>) в индивидуальной упаковке (стерильный)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189,39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378 780,00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Термоконтейнер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ТМ 25 (435*435*280мм)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матерьял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контейнера: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пенополистер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, наружная поверхность </w:t>
            </w:r>
            <w:proofErr w:type="spellStart"/>
            <w:r w:rsidRPr="00EA4ABB">
              <w:rPr>
                <w:rFonts w:ascii="Times New Roman" w:hAnsi="Times New Roman"/>
                <w:sz w:val="20"/>
                <w:szCs w:val="20"/>
              </w:rPr>
              <w:t>термоконтейнера</w:t>
            </w:r>
            <w:proofErr w:type="spellEnd"/>
            <w:r w:rsidRPr="00EA4ABB">
              <w:rPr>
                <w:rFonts w:ascii="Times New Roman" w:hAnsi="Times New Roman"/>
                <w:sz w:val="20"/>
                <w:szCs w:val="20"/>
              </w:rPr>
              <w:t xml:space="preserve"> защищена чехлом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65 100,00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260 400,00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Чашки Петри ТБН-2, стеклянные 100*20мм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 xml:space="preserve">Чашки Петри ТБН-2 , стеклянные 100*20мм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A4A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A4ABB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4ABB">
              <w:rPr>
                <w:rFonts w:ascii="Times New Roman" w:hAnsi="Times New Roman"/>
                <w:sz w:val="20"/>
                <w:szCs w:val="20"/>
              </w:rPr>
              <w:t>665 000,00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Вазофикс-Церто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катетер G22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Канюля/катетер для периферического внутривенного доступа: 22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514266">
              <w:rPr>
                <w:rFonts w:ascii="Times New Roman" w:hAnsi="Times New Roman"/>
                <w:sz w:val="20"/>
                <w:szCs w:val="20"/>
              </w:rPr>
              <w:t xml:space="preserve"> (0,9х25мм), скорость потока 36 мл/мин; </w:t>
            </w:r>
            <w:r w:rsidRPr="00514266">
              <w:rPr>
                <w:rFonts w:ascii="Times New Roman" w:hAnsi="Times New Roman"/>
                <w:sz w:val="20"/>
                <w:szCs w:val="20"/>
              </w:rPr>
              <w:br/>
              <w:t xml:space="preserve">Дополнительный инъекционный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безыгольный </w:t>
            </w:r>
            <w:r w:rsidRPr="00514266">
              <w:rPr>
                <w:rFonts w:ascii="Times New Roman" w:hAnsi="Times New Roman"/>
                <w:sz w:val="20"/>
                <w:szCs w:val="20"/>
              </w:rPr>
              <w:t>порт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расположен по центру канюли и не позволяет смещаться катетеру</w:t>
            </w:r>
            <w:r w:rsidRPr="005142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Порт может быть заблокирован при повороте на 180 гр. Эластичные крылья. Цветовая кодировка для легкого распознавания размера, синий.</w:t>
            </w:r>
            <w:r w:rsidRPr="00514266">
              <w:rPr>
                <w:rFonts w:ascii="Times New Roman" w:hAnsi="Times New Roman"/>
                <w:sz w:val="20"/>
                <w:szCs w:val="20"/>
              </w:rPr>
              <w:br/>
              <w:t xml:space="preserve">Используемые материалы: ПП, ПЭ, АБС, силиконовый каучук, </w:t>
            </w:r>
            <w:proofErr w:type="gramStart"/>
            <w:r w:rsidRPr="00514266">
              <w:rPr>
                <w:rFonts w:ascii="Times New Roman" w:hAnsi="Times New Roman"/>
                <w:sz w:val="20"/>
                <w:szCs w:val="20"/>
              </w:rPr>
              <w:t>хромо-никелевая</w:t>
            </w:r>
            <w:proofErr w:type="gram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сталь. </w:t>
            </w:r>
            <w:r w:rsidRPr="00514266">
              <w:rPr>
                <w:rFonts w:ascii="Times New Roman" w:hAnsi="Times New Roman"/>
                <w:sz w:val="20"/>
                <w:szCs w:val="20"/>
              </w:rPr>
              <w:br/>
              <w:t>Катетер: полиуретан (ПУР)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 4 встроенными рентгеноконтрастными полосками</w:t>
            </w:r>
            <w:r w:rsidRPr="005142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14266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514266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514266">
              <w:rPr>
                <w:rFonts w:ascii="Times New Roman" w:hAnsi="Times New Roman"/>
                <w:sz w:val="20"/>
                <w:szCs w:val="20"/>
              </w:rPr>
              <w:t>, для однократного применения.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426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514266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6 148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187,25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1 151 213,00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2-ходовой №16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балонный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из натурального латекса с силиконовым покрытием 2-х ходовой, однократного применения размеры: № 16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888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215,07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190 982,16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2-ходовой №18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балонный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из натурального латекса с силиконовым покрытием 2-х ходовой, однократного применения размеры: №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215,07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110 761,05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2-ходовой №20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балонный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из натурального латекса с силиконовым покрытием 2-х ходовой, однокра</w:t>
            </w:r>
            <w:r>
              <w:rPr>
                <w:rFonts w:ascii="Times New Roman" w:hAnsi="Times New Roman"/>
                <w:sz w:val="20"/>
                <w:szCs w:val="20"/>
              </w:rPr>
              <w:t>тного применения размеры: №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215,07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48 390,75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2-ходовой №22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балонный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из натурального латекса с силиконовым покрытием 2-х ходовой, однокра</w:t>
            </w:r>
            <w:r>
              <w:rPr>
                <w:rFonts w:ascii="Times New Roman" w:hAnsi="Times New Roman"/>
                <w:sz w:val="20"/>
                <w:szCs w:val="20"/>
              </w:rPr>
              <w:t>тного применения размеры: №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215,07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21 507,00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Набор для дренажа мочевых путей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 Мочеточниковый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стен</w:t>
            </w:r>
            <w:proofErr w:type="gramStart"/>
            <w:r w:rsidRPr="00514266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изготовлен из полиуретана голубого цвета.  Разметка в сантиметрах по всей длине. Закругленные концы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типа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Пигтейл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с обеих сторон, проксимальный завиток с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атровматичным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наконечником закрытого типа</w:t>
            </w:r>
            <w:proofErr w:type="gramStart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Дренажные боковые отверстия расположены по всей длине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. Линия для определения направления загиба конца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по всей длине. Размер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6  Длинна 26 см. Толкатель-изготовлен из прозрачного полиуретана длиной 45 см.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Усилиная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струна-проводник из </w:t>
            </w:r>
            <w:r w:rsidRPr="005142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нержавеющей стали с тефлоновым покрытием длиной 100 см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Проджолжительность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использоваения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 до 1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месяца</w:t>
            </w:r>
            <w:proofErr w:type="gramStart"/>
            <w:r w:rsidRPr="0051426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4266">
              <w:rPr>
                <w:rFonts w:ascii="Times New Roman" w:hAnsi="Times New Roman"/>
                <w:sz w:val="20"/>
                <w:szCs w:val="20"/>
              </w:rPr>
              <w:t>терильно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, для одноразового использования.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содержит латекса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Полстовляется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собранном виде.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14 391,50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2 878 300,00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2407BE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4267F8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2407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4267F8">
              <w:rPr>
                <w:rFonts w:ascii="Times New Roman" w:hAnsi="Times New Roman"/>
                <w:sz w:val="20"/>
                <w:szCs w:val="20"/>
              </w:rPr>
              <w:t>полоски</w:t>
            </w:r>
            <w:proofErr w:type="gramEnd"/>
            <w:r w:rsidRPr="002407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Contour Plus 50 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2407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2407BE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4267F8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2407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4267F8">
              <w:rPr>
                <w:rFonts w:ascii="Times New Roman" w:hAnsi="Times New Roman"/>
                <w:sz w:val="20"/>
                <w:szCs w:val="20"/>
              </w:rPr>
              <w:t>полоски</w:t>
            </w:r>
            <w:proofErr w:type="gramEnd"/>
            <w:r w:rsidRPr="002407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Contour Plus 50 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2407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267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7F8"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528000,00</w:t>
            </w:r>
          </w:p>
        </w:tc>
      </w:tr>
      <w:tr w:rsidR="002407BE" w:rsidRPr="00595AF1" w:rsidTr="003D5DE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Э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ндопротез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сетчатый полипропилен-поливинилиденфторидный для хирургического лечения недержания мочи у женщин 1,1х</w:t>
            </w:r>
            <w:r w:rsidRPr="00514266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5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петлями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BE" w:rsidRPr="00514266" w:rsidRDefault="002407BE" w:rsidP="00A055F5">
            <w:pPr>
              <w:pStyle w:val="a4"/>
              <w:spacing w:line="256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Э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ндопротез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сетчатый полипропилен-поливинилиденфторидный для хирургического лечения недержания мочи у женщин 1,1х</w:t>
            </w:r>
            <w:r w:rsidRPr="00514266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5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петлями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5 200 000,00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Дренажная емкость-контейнер 200,0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240C">
              <w:rPr>
                <w:rFonts w:ascii="Times New Roman" w:hAnsi="Times New Roman"/>
                <w:sz w:val="20"/>
                <w:szCs w:val="20"/>
              </w:rPr>
              <w:t>Дренажная емкость-контейнер  200,0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1 380 000,00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2-ходовой №16-18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4266">
              <w:rPr>
                <w:rFonts w:ascii="Times New Roman" w:hAnsi="Times New Roman"/>
                <w:sz w:val="20"/>
                <w:szCs w:val="20"/>
              </w:rPr>
              <w:t>балонный</w:t>
            </w:r>
            <w:proofErr w:type="spellEnd"/>
            <w:r w:rsidRPr="00514266">
              <w:rPr>
                <w:rFonts w:ascii="Times New Roman" w:hAnsi="Times New Roman"/>
                <w:sz w:val="20"/>
                <w:szCs w:val="20"/>
              </w:rPr>
              <w:t xml:space="preserve"> из натурального латекса с силиконовым покрытием 2-х ходовой, однокра</w:t>
            </w:r>
            <w:r>
              <w:rPr>
                <w:rFonts w:ascii="Times New Roman" w:hAnsi="Times New Roman"/>
                <w:sz w:val="20"/>
                <w:szCs w:val="20"/>
              </w:rPr>
              <w:t>тного применения размеры: № 16-18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215,07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14266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14266">
              <w:rPr>
                <w:rFonts w:ascii="Times New Roman" w:hAnsi="Times New Roman"/>
                <w:sz w:val="20"/>
                <w:szCs w:val="20"/>
              </w:rPr>
              <w:t>25 808,40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 xml:space="preserve">Краник 3-ходовой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 xml:space="preserve">Прозрачный поликарбонатный корпус (для визуализации пузырьков воздуха). </w:t>
            </w:r>
            <w:proofErr w:type="gramStart"/>
            <w:r w:rsidRPr="00553A1A">
              <w:rPr>
                <w:rFonts w:ascii="Times New Roman" w:hAnsi="Times New Roman"/>
                <w:sz w:val="20"/>
                <w:szCs w:val="20"/>
              </w:rPr>
              <w:t xml:space="preserve">Различные конфигурации коннекторов: коннектор типа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slip</w:t>
            </w:r>
            <w:proofErr w:type="spellEnd"/>
            <w:r w:rsidRPr="00553A1A">
              <w:rPr>
                <w:rFonts w:ascii="Times New Roman" w:hAnsi="Times New Roman"/>
                <w:sz w:val="20"/>
                <w:szCs w:val="20"/>
              </w:rPr>
              <w:t>, фиксированный коннектор типа "папа", универсальное прямое с крутящимся коннектором, ротационный адаптер "папа", коннекторы "мама", ротационный адаптер "папа" с правой или левой ориентацией.</w:t>
            </w:r>
            <w:proofErr w:type="gramEnd"/>
            <w:r w:rsidRPr="00553A1A">
              <w:rPr>
                <w:rFonts w:ascii="Times New Roman" w:hAnsi="Times New Roman"/>
                <w:sz w:val="20"/>
                <w:szCs w:val="20"/>
              </w:rPr>
              <w:t xml:space="preserve"> Краники одно-, 3-х, 4-х ходовые. Наличие поворотного вентиля с надписями </w:t>
            </w:r>
            <w:r>
              <w:rPr>
                <w:rFonts w:ascii="Times New Roman" w:hAnsi="Times New Roman"/>
                <w:sz w:val="20"/>
                <w:szCs w:val="20"/>
              </w:rPr>
              <w:t>OFF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>, правая или левая ориентация. Наличие вариантов разрешенного давления 50</w:t>
            </w:r>
            <w:r>
              <w:rPr>
                <w:rFonts w:ascii="Times New Roman" w:hAnsi="Times New Roman"/>
                <w:sz w:val="20"/>
                <w:szCs w:val="20"/>
              </w:rPr>
              <w:t>PSI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 xml:space="preserve"> (3.5 </w:t>
            </w:r>
            <w:r>
              <w:rPr>
                <w:rFonts w:ascii="Times New Roman" w:hAnsi="Times New Roman"/>
                <w:sz w:val="20"/>
                <w:szCs w:val="20"/>
              </w:rPr>
              <w:t>BAR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>), 200</w:t>
            </w:r>
            <w:r>
              <w:rPr>
                <w:rFonts w:ascii="Times New Roman" w:hAnsi="Times New Roman"/>
                <w:sz w:val="20"/>
                <w:szCs w:val="20"/>
              </w:rPr>
              <w:t>PSI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 xml:space="preserve"> (14</w:t>
            </w:r>
            <w:r>
              <w:rPr>
                <w:rFonts w:ascii="Times New Roman" w:hAnsi="Times New Roman"/>
                <w:sz w:val="20"/>
                <w:szCs w:val="20"/>
              </w:rPr>
              <w:t>BAR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>), 500</w:t>
            </w:r>
            <w:r>
              <w:rPr>
                <w:rFonts w:ascii="Times New Roman" w:hAnsi="Times New Roman"/>
                <w:sz w:val="20"/>
                <w:szCs w:val="20"/>
              </w:rPr>
              <w:t>PSI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 xml:space="preserve"> (34</w:t>
            </w:r>
            <w:r>
              <w:rPr>
                <w:rFonts w:ascii="Times New Roman" w:hAnsi="Times New Roman"/>
                <w:sz w:val="20"/>
                <w:szCs w:val="20"/>
              </w:rPr>
              <w:t>BAR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 xml:space="preserve">), или 1050 </w:t>
            </w:r>
            <w:r>
              <w:rPr>
                <w:rFonts w:ascii="Times New Roman" w:hAnsi="Times New Roman"/>
                <w:sz w:val="20"/>
                <w:szCs w:val="20"/>
              </w:rPr>
              <w:t>PSI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 xml:space="preserve"> (72 </w:t>
            </w:r>
            <w:r>
              <w:rPr>
                <w:rFonts w:ascii="Times New Roman" w:hAnsi="Times New Roman"/>
                <w:sz w:val="20"/>
                <w:szCs w:val="20"/>
              </w:rPr>
              <w:t>BAR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>). Цветовая кодировка краников по разрешенному давлению: белый 200</w:t>
            </w:r>
            <w:r>
              <w:rPr>
                <w:rFonts w:ascii="Times New Roman" w:hAnsi="Times New Roman"/>
                <w:sz w:val="20"/>
                <w:szCs w:val="20"/>
              </w:rPr>
              <w:t>PSI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 xml:space="preserve"> (14</w:t>
            </w:r>
            <w:r>
              <w:rPr>
                <w:rFonts w:ascii="Times New Roman" w:hAnsi="Times New Roman"/>
                <w:sz w:val="20"/>
                <w:szCs w:val="20"/>
              </w:rPr>
              <w:t>BAR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>) и краник большого просвета, голубой 500</w:t>
            </w:r>
            <w:r>
              <w:rPr>
                <w:rFonts w:ascii="Times New Roman" w:hAnsi="Times New Roman"/>
                <w:sz w:val="20"/>
                <w:szCs w:val="20"/>
              </w:rPr>
              <w:t>PSI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 xml:space="preserve"> (34</w:t>
            </w:r>
            <w:r>
              <w:rPr>
                <w:rFonts w:ascii="Times New Roman" w:hAnsi="Times New Roman"/>
                <w:sz w:val="20"/>
                <w:szCs w:val="20"/>
              </w:rPr>
              <w:t>BAR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 xml:space="preserve">) или синий 1050 </w:t>
            </w:r>
            <w:r>
              <w:rPr>
                <w:rFonts w:ascii="Times New Roman" w:hAnsi="Times New Roman"/>
                <w:sz w:val="20"/>
                <w:szCs w:val="20"/>
              </w:rPr>
              <w:t>PSI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 xml:space="preserve"> (72 </w:t>
            </w:r>
            <w:r>
              <w:rPr>
                <w:rFonts w:ascii="Times New Roman" w:hAnsi="Times New Roman"/>
                <w:sz w:val="20"/>
                <w:szCs w:val="20"/>
              </w:rPr>
              <w:t>BAR</w:t>
            </w:r>
            <w:r w:rsidRPr="00553A1A">
              <w:rPr>
                <w:rFonts w:ascii="Times New Roman" w:hAnsi="Times New Roman"/>
                <w:sz w:val="20"/>
                <w:szCs w:val="20"/>
              </w:rPr>
              <w:t xml:space="preserve">). Наличие защитного колпачка на краниках большого размера. Материал корпуса прозрачный поликарбонат. Контур рукоятки типа "плавника акулы". Наличие безвоздушного ротатора. Материал рукоятки </w:t>
            </w:r>
            <w:proofErr w:type="spellStart"/>
            <w:r w:rsidRPr="00553A1A">
              <w:rPr>
                <w:rFonts w:ascii="Times New Roman" w:hAnsi="Times New Roman"/>
                <w:sz w:val="20"/>
                <w:szCs w:val="20"/>
              </w:rPr>
              <w:t>делрин</w:t>
            </w:r>
            <w:proofErr w:type="spellEnd"/>
            <w:r w:rsidRPr="00553A1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Внутренний просвет краника 0.079" (2мм), для краников большого просвета 0.120" (2.5мм).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3A1A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553A1A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>640,00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>48 000,00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 xml:space="preserve">Электроды для конечностей </w:t>
            </w:r>
            <w:proofErr w:type="gramStart"/>
            <w:r w:rsidRPr="00553A1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53A1A">
              <w:rPr>
                <w:rFonts w:ascii="Times New Roman" w:hAnsi="Times New Roman"/>
                <w:sz w:val="20"/>
                <w:szCs w:val="20"/>
              </w:rPr>
              <w:t>4 шт. 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 xml:space="preserve"> Электроды для конечностей </w:t>
            </w:r>
            <w:proofErr w:type="gramStart"/>
            <w:r w:rsidRPr="00553A1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53A1A">
              <w:rPr>
                <w:rFonts w:ascii="Times New Roman" w:hAnsi="Times New Roman"/>
                <w:sz w:val="20"/>
                <w:szCs w:val="20"/>
              </w:rPr>
              <w:t>4 шт. 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 xml:space="preserve">Бумага для ЭКГ 112 мм в рулонах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> </w:t>
            </w:r>
            <w:r w:rsidRPr="0040724D">
              <w:rPr>
                <w:rFonts w:ascii="Times New Roman" w:hAnsi="Times New Roman"/>
                <w:sz w:val="20"/>
                <w:szCs w:val="20"/>
              </w:rPr>
              <w:t xml:space="preserve">Бумага для ЭКГ 112*25*12  ВТL-08 МТ </w:t>
            </w:r>
            <w:proofErr w:type="spellStart"/>
            <w:r w:rsidRPr="0040724D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A1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53A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>925,00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553A1A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A1A">
              <w:rPr>
                <w:rFonts w:ascii="Times New Roman" w:hAnsi="Times New Roman"/>
                <w:sz w:val="20"/>
                <w:szCs w:val="20"/>
              </w:rPr>
              <w:t>92 500,00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0724D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24D">
              <w:rPr>
                <w:rFonts w:ascii="Times New Roman" w:hAnsi="Times New Roman"/>
                <w:sz w:val="20"/>
                <w:szCs w:val="20"/>
              </w:rPr>
              <w:t>Аккумулятор холода (</w:t>
            </w:r>
            <w:proofErr w:type="spellStart"/>
            <w:r w:rsidRPr="0040724D">
              <w:rPr>
                <w:rFonts w:ascii="Times New Roman" w:hAnsi="Times New Roman"/>
                <w:sz w:val="20"/>
                <w:szCs w:val="20"/>
              </w:rPr>
              <w:t>хладоэлемент</w:t>
            </w:r>
            <w:proofErr w:type="spellEnd"/>
            <w:r w:rsidRPr="0040724D">
              <w:rPr>
                <w:rFonts w:ascii="Times New Roman" w:hAnsi="Times New Roman"/>
                <w:sz w:val="20"/>
                <w:szCs w:val="20"/>
              </w:rPr>
              <w:t xml:space="preserve">) для </w:t>
            </w:r>
            <w:proofErr w:type="spellStart"/>
            <w:r w:rsidRPr="0040724D">
              <w:rPr>
                <w:rFonts w:ascii="Times New Roman" w:hAnsi="Times New Roman"/>
                <w:sz w:val="20"/>
                <w:szCs w:val="20"/>
              </w:rPr>
              <w:t>проф-ки</w:t>
            </w:r>
            <w:proofErr w:type="spellEnd"/>
            <w:r w:rsidRPr="0040724D">
              <w:rPr>
                <w:rFonts w:ascii="Times New Roman" w:hAnsi="Times New Roman"/>
                <w:sz w:val="20"/>
                <w:szCs w:val="20"/>
              </w:rPr>
              <w:t xml:space="preserve"> кровотечений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0724D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24D">
              <w:rPr>
                <w:rFonts w:ascii="Times New Roman" w:hAnsi="Times New Roman"/>
                <w:sz w:val="20"/>
                <w:szCs w:val="20"/>
              </w:rPr>
              <w:t>Аккумулятор холода (</w:t>
            </w:r>
            <w:proofErr w:type="spellStart"/>
            <w:r w:rsidRPr="0040724D">
              <w:rPr>
                <w:rFonts w:ascii="Times New Roman" w:hAnsi="Times New Roman"/>
                <w:sz w:val="20"/>
                <w:szCs w:val="20"/>
              </w:rPr>
              <w:t>хладоэлемент</w:t>
            </w:r>
            <w:proofErr w:type="spellEnd"/>
            <w:r w:rsidRPr="0040724D">
              <w:rPr>
                <w:rFonts w:ascii="Times New Roman" w:hAnsi="Times New Roman"/>
                <w:sz w:val="20"/>
                <w:szCs w:val="20"/>
              </w:rPr>
              <w:t xml:space="preserve">) для </w:t>
            </w:r>
            <w:proofErr w:type="spellStart"/>
            <w:r w:rsidRPr="0040724D">
              <w:rPr>
                <w:rFonts w:ascii="Times New Roman" w:hAnsi="Times New Roman"/>
                <w:sz w:val="20"/>
                <w:szCs w:val="20"/>
              </w:rPr>
              <w:t>проф-ки</w:t>
            </w:r>
            <w:proofErr w:type="spellEnd"/>
            <w:r w:rsidRPr="0040724D">
              <w:rPr>
                <w:rFonts w:ascii="Times New Roman" w:hAnsi="Times New Roman"/>
                <w:sz w:val="20"/>
                <w:szCs w:val="20"/>
              </w:rPr>
              <w:t xml:space="preserve"> кровотечений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0724D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24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0724D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2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0724D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24D">
              <w:rPr>
                <w:rFonts w:ascii="Times New Roman" w:hAnsi="Times New Roman"/>
                <w:sz w:val="20"/>
                <w:szCs w:val="20"/>
              </w:rPr>
              <w:t>1 470,00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0724D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24D">
              <w:rPr>
                <w:rFonts w:ascii="Times New Roman" w:hAnsi="Times New Roman"/>
                <w:sz w:val="20"/>
                <w:szCs w:val="20"/>
              </w:rPr>
              <w:t>14 700,00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3E11">
              <w:rPr>
                <w:rFonts w:ascii="Times New Roman" w:hAnsi="Times New Roman"/>
                <w:sz w:val="20"/>
                <w:szCs w:val="20"/>
              </w:rPr>
              <w:t>Вазофикс-Церто</w:t>
            </w:r>
            <w:proofErr w:type="spellEnd"/>
            <w:r w:rsidRPr="00E33E11">
              <w:rPr>
                <w:rFonts w:ascii="Times New Roman" w:hAnsi="Times New Roman"/>
                <w:sz w:val="20"/>
                <w:szCs w:val="20"/>
              </w:rPr>
              <w:t xml:space="preserve"> катетер G16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6F20">
              <w:rPr>
                <w:rFonts w:ascii="Times New Roman" w:eastAsia="BatangChe" w:hAnsi="Times New Roman"/>
                <w:sz w:val="20"/>
                <w:szCs w:val="20"/>
              </w:rPr>
              <w:t xml:space="preserve">Катетер </w:t>
            </w:r>
            <w:r w:rsidRPr="00E33E11">
              <w:rPr>
                <w:rFonts w:ascii="Times New Roman" w:eastAsia="BatangChe" w:hAnsi="Times New Roman"/>
                <w:sz w:val="20"/>
                <w:szCs w:val="20"/>
              </w:rPr>
              <w:t>G</w:t>
            </w:r>
            <w:r w:rsidRPr="00E36F20">
              <w:rPr>
                <w:rFonts w:ascii="Times New Roman" w:eastAsia="BatangChe" w:hAnsi="Times New Roman"/>
                <w:sz w:val="20"/>
                <w:szCs w:val="20"/>
              </w:rPr>
              <w:t xml:space="preserve">16 1,7х50мм </w:t>
            </w:r>
            <w:proofErr w:type="gramStart"/>
            <w:r w:rsidRPr="00E36F20">
              <w:rPr>
                <w:rFonts w:ascii="Times New Roman" w:eastAsia="BatangChe" w:hAnsi="Times New Roman"/>
                <w:sz w:val="20"/>
                <w:szCs w:val="20"/>
              </w:rPr>
              <w:t>в</w:t>
            </w:r>
            <w:proofErr w:type="gramEnd"/>
            <w:r w:rsidRPr="00E36F20">
              <w:rPr>
                <w:rFonts w:ascii="Times New Roman" w:eastAsia="BatangChe" w:hAnsi="Times New Roman"/>
                <w:sz w:val="20"/>
                <w:szCs w:val="20"/>
              </w:rPr>
              <w:t xml:space="preserve">/в с </w:t>
            </w:r>
            <w:proofErr w:type="spellStart"/>
            <w:r w:rsidRPr="00E36F20">
              <w:rPr>
                <w:rFonts w:ascii="Times New Roman" w:eastAsia="BatangChe" w:hAnsi="Times New Roman"/>
                <w:sz w:val="20"/>
                <w:szCs w:val="20"/>
              </w:rPr>
              <w:t>инъек</w:t>
            </w:r>
            <w:proofErr w:type="spellEnd"/>
            <w:r w:rsidRPr="00E36F20">
              <w:rPr>
                <w:rFonts w:ascii="Times New Roman" w:eastAsia="BatangChe" w:hAnsi="Times New Roman"/>
                <w:sz w:val="20"/>
                <w:szCs w:val="20"/>
              </w:rPr>
              <w:t xml:space="preserve"> портом 4269179. </w:t>
            </w:r>
            <w:r w:rsidRPr="00E36F20">
              <w:rPr>
                <w:rFonts w:ascii="Times New Roman" w:hAnsi="Times New Roman"/>
                <w:sz w:val="20"/>
                <w:szCs w:val="20"/>
              </w:rPr>
              <w:t>Одноразовый внутривенный периферический стерильный катетер с инъекционным портом для длительного применения (канюля)  Состав Материал Полиуретан</w:t>
            </w:r>
            <w:proofErr w:type="gramStart"/>
            <w:r w:rsidRPr="00E36F20">
              <w:rPr>
                <w:rFonts w:ascii="Times New Roman" w:hAnsi="Times New Roman"/>
                <w:sz w:val="20"/>
                <w:szCs w:val="20"/>
              </w:rPr>
              <w:t xml:space="preserve">  Ч</w:t>
            </w:r>
            <w:proofErr w:type="gramEnd"/>
            <w:r w:rsidRPr="00E36F20">
              <w:rPr>
                <w:rFonts w:ascii="Times New Roman" w:hAnsi="Times New Roman"/>
                <w:sz w:val="20"/>
                <w:szCs w:val="20"/>
              </w:rPr>
              <w:t xml:space="preserve">етыре встроенные в стенку </w:t>
            </w:r>
            <w:proofErr w:type="spellStart"/>
            <w:r w:rsidRPr="00E33E11">
              <w:rPr>
                <w:rFonts w:ascii="Times New Roman" w:hAnsi="Times New Roman"/>
                <w:sz w:val="20"/>
                <w:szCs w:val="20"/>
              </w:rPr>
              <w:t>Rg</w:t>
            </w:r>
            <w:proofErr w:type="spellEnd"/>
            <w:r w:rsidRPr="00E36F20">
              <w:rPr>
                <w:rFonts w:ascii="Times New Roman" w:hAnsi="Times New Roman"/>
                <w:sz w:val="20"/>
                <w:szCs w:val="20"/>
              </w:rPr>
              <w:t xml:space="preserve">-контрастные полоски. Тонкостенная трубка обеспечивает высокую скорость потока. Особая форма кончика катетера и иглы уменьшают пункционную травму. Самозакрывающийся инъекционный клапан. Фиксирующие крылья с наклоном, компенсирующим угол пункции. Удобный захват для выполнения пункции одной рукой. Гидрофобная заглушка. Съемный винтовой колпачок. </w:t>
            </w:r>
            <w:r w:rsidRPr="00E33E11">
              <w:rPr>
                <w:rFonts w:ascii="Times New Roman" w:hAnsi="Times New Roman"/>
                <w:sz w:val="20"/>
                <w:szCs w:val="20"/>
              </w:rPr>
              <w:t>Герметичное винтовое соединение.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3E11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E33E11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187,25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85 198,75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3E11">
              <w:rPr>
                <w:rFonts w:ascii="Times New Roman" w:hAnsi="Times New Roman"/>
                <w:sz w:val="20"/>
                <w:szCs w:val="20"/>
              </w:rPr>
              <w:t>Вазофикс-Церто</w:t>
            </w:r>
            <w:proofErr w:type="spellEnd"/>
            <w:r w:rsidRPr="00E33E11">
              <w:rPr>
                <w:rFonts w:ascii="Times New Roman" w:hAnsi="Times New Roman"/>
                <w:sz w:val="20"/>
                <w:szCs w:val="20"/>
              </w:rPr>
              <w:t xml:space="preserve"> катетер G24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6F2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6F20">
              <w:rPr>
                <w:rFonts w:ascii="Times New Roman" w:hAnsi="Times New Roman"/>
                <w:sz w:val="20"/>
                <w:szCs w:val="20"/>
              </w:rPr>
              <w:t xml:space="preserve">Канюля/катетер для периферического внутривенного доступа </w:t>
            </w:r>
            <w:proofErr w:type="spellStart"/>
            <w:r w:rsidRPr="00E33E11">
              <w:rPr>
                <w:rFonts w:ascii="Times New Roman" w:hAnsi="Times New Roman"/>
                <w:sz w:val="20"/>
                <w:szCs w:val="20"/>
              </w:rPr>
              <w:t>Vasofix</w:t>
            </w:r>
            <w:proofErr w:type="spellEnd"/>
            <w:r w:rsidRPr="00E36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3E11">
              <w:rPr>
                <w:rFonts w:ascii="Times New Roman" w:hAnsi="Times New Roman"/>
                <w:sz w:val="20"/>
                <w:szCs w:val="20"/>
              </w:rPr>
              <w:t>Certo</w:t>
            </w:r>
            <w:proofErr w:type="spellEnd"/>
            <w:r w:rsidRPr="00E36F20">
              <w:rPr>
                <w:rFonts w:ascii="Times New Roman" w:hAnsi="Times New Roman"/>
                <w:sz w:val="20"/>
                <w:szCs w:val="20"/>
              </w:rPr>
              <w:t xml:space="preserve">: 24 </w:t>
            </w:r>
            <w:r w:rsidRPr="00E33E11">
              <w:rPr>
                <w:rFonts w:ascii="Times New Roman" w:hAnsi="Times New Roman"/>
                <w:sz w:val="20"/>
                <w:szCs w:val="20"/>
              </w:rPr>
              <w:t>G</w:t>
            </w:r>
            <w:r w:rsidRPr="00E36F20">
              <w:rPr>
                <w:rFonts w:ascii="Times New Roman" w:hAnsi="Times New Roman"/>
                <w:sz w:val="20"/>
                <w:szCs w:val="20"/>
              </w:rPr>
              <w:t xml:space="preserve"> (0,7х19мм), скорость потока 22 мл/мин; </w:t>
            </w:r>
            <w:r w:rsidRPr="00E36F20">
              <w:rPr>
                <w:rFonts w:ascii="Times New Roman" w:hAnsi="Times New Roman"/>
                <w:sz w:val="20"/>
                <w:szCs w:val="20"/>
              </w:rPr>
              <w:br/>
              <w:t xml:space="preserve">Дополнительный инъекционный </w:t>
            </w:r>
            <w:proofErr w:type="spellStart"/>
            <w:r w:rsidRPr="00E36F20">
              <w:rPr>
                <w:rFonts w:ascii="Times New Roman" w:hAnsi="Times New Roman"/>
                <w:sz w:val="20"/>
                <w:szCs w:val="20"/>
              </w:rPr>
              <w:t>безыгольный</w:t>
            </w:r>
            <w:proofErr w:type="spellEnd"/>
            <w:r w:rsidRPr="00E36F20">
              <w:rPr>
                <w:rFonts w:ascii="Times New Roman" w:hAnsi="Times New Roman"/>
                <w:sz w:val="20"/>
                <w:szCs w:val="20"/>
              </w:rPr>
              <w:t xml:space="preserve"> порт расположен по центру канюли и не позволяет смещаться катетеру.  Порт может быть заблокирован </w:t>
            </w:r>
            <w:r w:rsidRPr="00E36F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 повороте на 180 гр. Эластичные крылья. Цветовая кодировка для легкого распознавания размера, </w:t>
            </w:r>
            <w:proofErr w:type="gramStart"/>
            <w:r w:rsidRPr="00E36F20">
              <w:rPr>
                <w:rFonts w:ascii="Times New Roman" w:hAnsi="Times New Roman"/>
                <w:sz w:val="20"/>
                <w:szCs w:val="20"/>
              </w:rPr>
              <w:t>желтый</w:t>
            </w:r>
            <w:proofErr w:type="gramEnd"/>
            <w:r w:rsidRPr="00E36F20">
              <w:rPr>
                <w:rFonts w:ascii="Times New Roman" w:hAnsi="Times New Roman"/>
                <w:sz w:val="20"/>
                <w:szCs w:val="20"/>
              </w:rPr>
              <w:t>.</w:t>
            </w:r>
            <w:r w:rsidRPr="00E36F20">
              <w:rPr>
                <w:rFonts w:ascii="Times New Roman" w:hAnsi="Times New Roman"/>
                <w:sz w:val="20"/>
                <w:szCs w:val="20"/>
              </w:rPr>
              <w:br/>
              <w:t xml:space="preserve">Используемые материалы: ПП, ПЭ, АБС, силиконовый каучук, </w:t>
            </w:r>
            <w:proofErr w:type="gramStart"/>
            <w:r w:rsidRPr="00E36F20">
              <w:rPr>
                <w:rFonts w:ascii="Times New Roman" w:hAnsi="Times New Roman"/>
                <w:sz w:val="20"/>
                <w:szCs w:val="20"/>
              </w:rPr>
              <w:t>хромо-никелевая</w:t>
            </w:r>
            <w:proofErr w:type="gramEnd"/>
            <w:r w:rsidRPr="00E36F20">
              <w:rPr>
                <w:rFonts w:ascii="Times New Roman" w:hAnsi="Times New Roman"/>
                <w:sz w:val="20"/>
                <w:szCs w:val="20"/>
              </w:rPr>
              <w:t xml:space="preserve"> сталь. </w:t>
            </w:r>
            <w:r w:rsidRPr="00E36F20">
              <w:rPr>
                <w:rFonts w:ascii="Times New Roman" w:hAnsi="Times New Roman"/>
                <w:sz w:val="20"/>
                <w:szCs w:val="20"/>
              </w:rPr>
              <w:br/>
              <w:t xml:space="preserve">Катетер: полиуретан (ПУР) с 4 встроенными </w:t>
            </w:r>
            <w:proofErr w:type="spellStart"/>
            <w:r w:rsidRPr="00E36F20">
              <w:rPr>
                <w:rFonts w:ascii="Times New Roman" w:hAnsi="Times New Roman"/>
                <w:sz w:val="20"/>
                <w:szCs w:val="20"/>
              </w:rPr>
              <w:t>рентгеноконтрастными</w:t>
            </w:r>
            <w:proofErr w:type="spellEnd"/>
            <w:r w:rsidRPr="00E36F20">
              <w:rPr>
                <w:rFonts w:ascii="Times New Roman" w:hAnsi="Times New Roman"/>
                <w:sz w:val="20"/>
                <w:szCs w:val="20"/>
              </w:rPr>
              <w:t xml:space="preserve"> полосками. </w:t>
            </w:r>
            <w:r w:rsidRPr="00E36F20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36F20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E36F20">
              <w:rPr>
                <w:rFonts w:ascii="Times New Roman" w:hAnsi="Times New Roman"/>
                <w:sz w:val="20"/>
                <w:szCs w:val="20"/>
              </w:rPr>
              <w:t>, для однократного применения.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3E11"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proofErr w:type="gramEnd"/>
            <w:r w:rsidRPr="00E33E11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7 550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187,25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1 413 737,50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Мочеприемник детский универсальный 100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Мочеприемник детский универсальный 100 мл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Фильтр-канюля мини-</w:t>
            </w:r>
            <w:proofErr w:type="spellStart"/>
            <w:r w:rsidRPr="00E33E11">
              <w:rPr>
                <w:rFonts w:ascii="Times New Roman" w:hAnsi="Times New Roman"/>
                <w:sz w:val="20"/>
                <w:szCs w:val="20"/>
              </w:rPr>
              <w:t>спайк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 xml:space="preserve">Мини - </w:t>
            </w:r>
            <w:proofErr w:type="spellStart"/>
            <w:r w:rsidRPr="00E33E11">
              <w:rPr>
                <w:rFonts w:ascii="Times New Roman" w:hAnsi="Times New Roman"/>
                <w:sz w:val="20"/>
                <w:szCs w:val="20"/>
              </w:rPr>
              <w:t>спайк</w:t>
            </w:r>
            <w:proofErr w:type="spellEnd"/>
            <w:proofErr w:type="gramStart"/>
            <w:r w:rsidRPr="00E33E1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33E11">
              <w:rPr>
                <w:rFonts w:ascii="Times New Roman" w:hAnsi="Times New Roman"/>
                <w:sz w:val="20"/>
                <w:szCs w:val="20"/>
              </w:rPr>
              <w:t xml:space="preserve"> стандартный наконечник, фильтры антибактериальные 0,45 м., тонкий очистки м., синий.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705 000,00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Маска аэрозольная (с увлажнителем 6 мл) детская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Маска аэрозольная (с увлажнителем 6 мл) детская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1 173,14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3E1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E11">
              <w:rPr>
                <w:rFonts w:ascii="Times New Roman" w:hAnsi="Times New Roman"/>
                <w:sz w:val="20"/>
                <w:szCs w:val="20"/>
              </w:rPr>
              <w:t>821 200,00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E36F2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6F20">
              <w:rPr>
                <w:rFonts w:ascii="Times New Roman" w:hAnsi="Times New Roman"/>
                <w:sz w:val="20"/>
                <w:szCs w:val="20"/>
              </w:rPr>
              <w:t xml:space="preserve">Линия для </w:t>
            </w:r>
            <w:proofErr w:type="spellStart"/>
            <w:r w:rsidRPr="00E36F20">
              <w:rPr>
                <w:rFonts w:ascii="Times New Roman" w:hAnsi="Times New Roman"/>
                <w:sz w:val="20"/>
                <w:szCs w:val="20"/>
              </w:rPr>
              <w:t>Инфузомат</w:t>
            </w:r>
            <w:proofErr w:type="spellEnd"/>
            <w:r w:rsidRPr="00E36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F20">
              <w:rPr>
                <w:rFonts w:ascii="Times New Roman" w:hAnsi="Times New Roman"/>
                <w:sz w:val="20"/>
                <w:szCs w:val="20"/>
              </w:rPr>
              <w:t>спейс</w:t>
            </w:r>
            <w:proofErr w:type="spellEnd"/>
            <w:r w:rsidRPr="00E36F20">
              <w:rPr>
                <w:rFonts w:ascii="Times New Roman" w:hAnsi="Times New Roman"/>
                <w:sz w:val="20"/>
                <w:szCs w:val="20"/>
              </w:rPr>
              <w:t xml:space="preserve">, 250см.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 xml:space="preserve">Оригинальная система для 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Infusomat</w:t>
            </w:r>
            <w:proofErr w:type="gramStart"/>
            <w:r w:rsidRPr="004267F8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proofErr w:type="gramEnd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спейс</w:t>
            </w:r>
            <w:proofErr w:type="spellEnd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 250 см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2 183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1 033,62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2 256 392,46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Манжета многоразовая НИАД для взрослых для мониторов производства "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4267F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Манжета  многоразовая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67F8">
              <w:rPr>
                <w:rFonts w:ascii="Times New Roman" w:hAnsi="Times New Roman"/>
                <w:sz w:val="20"/>
                <w:szCs w:val="20"/>
              </w:rPr>
              <w:t>НИАД для взрослых  для мониторов производства  "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"  </w:t>
            </w:r>
            <w:proofErr w:type="gramStart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267F8">
              <w:rPr>
                <w:rFonts w:ascii="Times New Roman" w:hAnsi="Times New Roman"/>
                <w:sz w:val="20"/>
                <w:szCs w:val="20"/>
              </w:rPr>
              <w:t>ширина 13см, окружность руки 23-33 см)      YP-713T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67F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21 400,00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706 200,00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Мочеприемник мужской  "Утка" взрослая стандартная со шкалой деления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Мочеприемник мужской полимерный "Утка" взрослый стандартный со шкалой 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1 498,00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79 394,00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Набор для катетеризации центральных венозных вен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Default="002407BE" w:rsidP="00A055F5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267F8">
              <w:rPr>
                <w:rFonts w:ascii="Times New Roman" w:hAnsi="Times New Roman"/>
                <w:sz w:val="20"/>
                <w:szCs w:val="20"/>
              </w:rPr>
              <w:t xml:space="preserve">Набор для катетеризации центральных вен с одноканальным катетером. </w:t>
            </w:r>
            <w:proofErr w:type="gramStart"/>
            <w:r w:rsidRPr="004267F8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267F8">
              <w:rPr>
                <w:rFonts w:ascii="Times New Roman" w:hAnsi="Times New Roman"/>
                <w:sz w:val="20"/>
                <w:szCs w:val="20"/>
              </w:rPr>
              <w:t>катетеризация</w:t>
            </w:r>
            <w:proofErr w:type="gramEnd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 вен по 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инфузии</w:t>
            </w:r>
            <w:proofErr w:type="spellEnd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 и измерения ЦВД. Материал катетера: термолабильный, 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антитромбогенный</w:t>
            </w:r>
            <w:proofErr w:type="spellEnd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 полиуретан. Состав набора: Одноканальный катетер с мягким скругленным кончиком и соединителем 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Люэр</w:t>
            </w:r>
            <w:proofErr w:type="spellEnd"/>
            <w:r w:rsidRPr="00426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F8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4267F8">
              <w:rPr>
                <w:rFonts w:ascii="Times New Roman" w:hAnsi="Times New Roman"/>
                <w:sz w:val="20"/>
                <w:szCs w:val="20"/>
              </w:rPr>
              <w:t>. Наружный диаметр катетера 16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4267F8">
              <w:rPr>
                <w:rFonts w:ascii="Times New Roman" w:hAnsi="Times New Roman"/>
                <w:sz w:val="20"/>
                <w:szCs w:val="20"/>
              </w:rPr>
              <w:t xml:space="preserve"> / 1,7 мм, длина катетера 20 см. Скорость потока 45 мл/мин. Пункционная игла тонкостенная 18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4267F8">
              <w:rPr>
                <w:rFonts w:ascii="Times New Roman" w:hAnsi="Times New Roman"/>
                <w:sz w:val="20"/>
                <w:szCs w:val="20"/>
              </w:rPr>
              <w:t xml:space="preserve"> – 70 мм, с овальным срезом. Дилататор пластиковый. Проводник металлический гибкий 0,89 мм х 50 см, маркированный, с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4267F8">
              <w:rPr>
                <w:rFonts w:ascii="Times New Roman" w:hAnsi="Times New Roman"/>
                <w:sz w:val="20"/>
                <w:szCs w:val="20"/>
              </w:rPr>
              <w:t xml:space="preserve">-образным кончиком. Передвигаемые и фиксируемые крылышки с 2-мя отверстиями для фиксации лигатурой.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Заглушка с эластичной инъекционной вставкой.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Default="002407BE" w:rsidP="00A055F5">
            <w:pPr>
              <w:jc w:val="center"/>
            </w:pPr>
            <w:proofErr w:type="gramStart"/>
            <w:r>
              <w:t>ш</w:t>
            </w:r>
            <w:proofErr w:type="gramEnd"/>
            <w: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Default="002407BE" w:rsidP="00A055F5">
            <w:pPr>
              <w:jc w:val="center"/>
            </w:pPr>
            <w:r>
              <w:t>510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Default="002407BE" w:rsidP="00A055F5">
            <w:pPr>
              <w:jc w:val="center"/>
            </w:pPr>
            <w:r>
              <w:t>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Default="002407BE" w:rsidP="00A055F5">
            <w:pPr>
              <w:jc w:val="center"/>
            </w:pPr>
            <w:r>
              <w:t>3 315 000,00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Default="002407BE" w:rsidP="00A055F5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Вазофикс-Церто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катетер G18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 xml:space="preserve">Канюля/катетер для периферического внутривенного доступа: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Pr="009928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9928A1">
              <w:rPr>
                <w:rFonts w:ascii="Times New Roman" w:hAnsi="Times New Roman"/>
                <w:sz w:val="20"/>
                <w:szCs w:val="20"/>
              </w:rPr>
              <w:t xml:space="preserve"> (1.3*45мм), скорость потока 22 мл/мин; </w:t>
            </w:r>
            <w:r w:rsidRPr="009928A1">
              <w:rPr>
                <w:rFonts w:ascii="Times New Roman" w:hAnsi="Times New Roman"/>
                <w:sz w:val="20"/>
                <w:szCs w:val="20"/>
              </w:rPr>
              <w:br/>
              <w:t xml:space="preserve">Дополнительный инъекционный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безыгольный </w:t>
            </w:r>
            <w:r w:rsidRPr="009928A1">
              <w:rPr>
                <w:rFonts w:ascii="Times New Roman" w:hAnsi="Times New Roman"/>
                <w:sz w:val="20"/>
                <w:szCs w:val="20"/>
              </w:rPr>
              <w:t>порт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расположен по центру канюли и не позволяет смещаться катетеру</w:t>
            </w:r>
            <w:r w:rsidRPr="009928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Порт может быть заблокирован при повороте на 180 гр. Эластичные крылья. Цветовая кодировка для легкого распознавания размера, желтый.</w:t>
            </w:r>
            <w:r w:rsidRPr="009928A1">
              <w:rPr>
                <w:rFonts w:ascii="Times New Roman" w:hAnsi="Times New Roman"/>
                <w:sz w:val="20"/>
                <w:szCs w:val="20"/>
              </w:rPr>
              <w:br/>
              <w:t xml:space="preserve">Используемые материалы: ПП, ПЭ, АБС, силиконовый каучук, </w:t>
            </w:r>
            <w:proofErr w:type="gramStart"/>
            <w:r w:rsidRPr="009928A1">
              <w:rPr>
                <w:rFonts w:ascii="Times New Roman" w:hAnsi="Times New Roman"/>
                <w:sz w:val="20"/>
                <w:szCs w:val="20"/>
              </w:rPr>
              <w:t>хромо-никелевая</w:t>
            </w:r>
            <w:proofErr w:type="gram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 сталь. </w:t>
            </w:r>
            <w:r w:rsidRPr="009928A1">
              <w:rPr>
                <w:rFonts w:ascii="Times New Roman" w:hAnsi="Times New Roman"/>
                <w:sz w:val="20"/>
                <w:szCs w:val="20"/>
              </w:rPr>
              <w:br/>
              <w:t>Катетер: полиуретан (ПУР)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 4 встроенными рентгеноконтрастными полосками</w:t>
            </w:r>
            <w:r w:rsidRPr="009928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928A1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9928A1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9928A1">
              <w:rPr>
                <w:rFonts w:ascii="Times New Roman" w:hAnsi="Times New Roman"/>
                <w:sz w:val="20"/>
                <w:szCs w:val="20"/>
              </w:rPr>
              <w:t>, для однократного применения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1 366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187,25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4267F8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67F8">
              <w:rPr>
                <w:rFonts w:ascii="Times New Roman" w:hAnsi="Times New Roman"/>
                <w:sz w:val="20"/>
                <w:szCs w:val="20"/>
              </w:rPr>
              <w:t>255 783,50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 2-ходовой №14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балонный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 из натурального латекса с силиконовым покрытием 2-х ходовой, однократного применения размеры: №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215,07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33 550,92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Айобан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 2.56*45см пленка 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антимикроб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Ioban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 2.56*45см пленка 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антимикроб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7 800,00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156 000,00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 xml:space="preserve">Аспиратор вакуумный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 xml:space="preserve">Аспиратор вакуумный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322 920,00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1 614 600,00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Бумага для ЭКГ 210ммх30м А</w:t>
            </w:r>
            <w:proofErr w:type="gramStart"/>
            <w:r w:rsidRPr="009928A1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 xml:space="preserve">Бумага для ЭКГ 210х300х200мм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1 851,10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74 044,00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Манжета для измерения АД размер "М" на монитор "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Nikon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kochden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Манжета для измерения АД размер "М" на монитор "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Nikon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kochden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20 009,00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400 180,00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9928A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928A1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928A1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9928A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928A1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9928A1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16 650,00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9928A1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28A1">
              <w:rPr>
                <w:rFonts w:ascii="Times New Roman" w:hAnsi="Times New Roman"/>
                <w:sz w:val="20"/>
                <w:szCs w:val="20"/>
              </w:rPr>
              <w:t>3 330 000,00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Шнур SPO-2 на монитор "</w:t>
            </w:r>
            <w:proofErr w:type="spellStart"/>
            <w:r w:rsidRPr="00F01290">
              <w:rPr>
                <w:rFonts w:ascii="Times New Roman" w:hAnsi="Times New Roman"/>
                <w:sz w:val="20"/>
                <w:szCs w:val="20"/>
              </w:rPr>
              <w:t>Nikon</w:t>
            </w:r>
            <w:proofErr w:type="spellEnd"/>
            <w:r w:rsidRPr="00F01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290">
              <w:rPr>
                <w:rFonts w:ascii="Times New Roman" w:hAnsi="Times New Roman"/>
                <w:sz w:val="20"/>
                <w:szCs w:val="20"/>
              </w:rPr>
              <w:t>kochden</w:t>
            </w:r>
            <w:proofErr w:type="spellEnd"/>
            <w:r w:rsidRPr="00F0129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Шнур SPO -2 на монитор  "</w:t>
            </w:r>
            <w:proofErr w:type="spellStart"/>
            <w:r w:rsidRPr="00F01290">
              <w:rPr>
                <w:rFonts w:ascii="Times New Roman" w:hAnsi="Times New Roman"/>
                <w:sz w:val="20"/>
                <w:szCs w:val="20"/>
              </w:rPr>
              <w:t>Nikon</w:t>
            </w:r>
            <w:proofErr w:type="spellEnd"/>
            <w:r w:rsidRPr="00F01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290">
              <w:rPr>
                <w:rFonts w:ascii="Times New Roman" w:hAnsi="Times New Roman"/>
                <w:sz w:val="20"/>
                <w:szCs w:val="20"/>
              </w:rPr>
              <w:t>kochden</w:t>
            </w:r>
            <w:proofErr w:type="spellEnd"/>
            <w:r w:rsidRPr="00F0129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2407B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521475" w:rsidRDefault="002407B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Шнур с 3-мя электродами на монитор "</w:t>
            </w:r>
            <w:proofErr w:type="spellStart"/>
            <w:r w:rsidRPr="00F01290">
              <w:rPr>
                <w:rFonts w:ascii="Times New Roman" w:hAnsi="Times New Roman"/>
                <w:sz w:val="20"/>
                <w:szCs w:val="20"/>
              </w:rPr>
              <w:t>Nikon</w:t>
            </w:r>
            <w:proofErr w:type="spellEnd"/>
            <w:r w:rsidRPr="00F01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290">
              <w:rPr>
                <w:rFonts w:ascii="Times New Roman" w:hAnsi="Times New Roman"/>
                <w:sz w:val="20"/>
                <w:szCs w:val="20"/>
              </w:rPr>
              <w:t>kochden</w:t>
            </w:r>
            <w:proofErr w:type="spellEnd"/>
            <w:r w:rsidRPr="00F0129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Шнур с 3-мя электродами на монитор  "</w:t>
            </w:r>
            <w:proofErr w:type="spellStart"/>
            <w:r w:rsidRPr="00F01290">
              <w:rPr>
                <w:rFonts w:ascii="Times New Roman" w:hAnsi="Times New Roman"/>
                <w:sz w:val="20"/>
                <w:szCs w:val="20"/>
              </w:rPr>
              <w:t>Nikon</w:t>
            </w:r>
            <w:proofErr w:type="spellEnd"/>
            <w:r w:rsidRPr="00F01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290">
              <w:rPr>
                <w:rFonts w:ascii="Times New Roman" w:hAnsi="Times New Roman"/>
                <w:sz w:val="20"/>
                <w:szCs w:val="20"/>
              </w:rPr>
              <w:t>kochden</w:t>
            </w:r>
            <w:proofErr w:type="spellEnd"/>
            <w:r w:rsidRPr="00F0129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BE" w:rsidRPr="00F01290" w:rsidRDefault="002407BE" w:rsidP="00A05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1290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2407BE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E" w:rsidRPr="00807C99" w:rsidRDefault="002407BE" w:rsidP="004F532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7BE" w:rsidRPr="00076AC4" w:rsidRDefault="002407BE" w:rsidP="004F532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7BE" w:rsidRPr="00D45B1C" w:rsidRDefault="002407BE" w:rsidP="004F53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2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012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095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012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838,43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540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C0EDD"/>
    <w:rsid w:val="00AC3AFB"/>
    <w:rsid w:val="00AC4210"/>
    <w:rsid w:val="00AC5D94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0F71-8853-40B0-BE86-3238FFC7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2021-05-18T10:37:00Z</cp:lastPrinted>
  <dcterms:created xsi:type="dcterms:W3CDTF">2022-01-13T09:18:00Z</dcterms:created>
  <dcterms:modified xsi:type="dcterms:W3CDTF">2022-01-31T08:41:00Z</dcterms:modified>
</cp:coreProperties>
</file>