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2E7475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DF49F3">
        <w:rPr>
          <w:rFonts w:ascii="Times New Roman" w:hAnsi="Times New Roman"/>
          <w:b/>
          <w:sz w:val="24"/>
          <w:szCs w:val="24"/>
        </w:rPr>
        <w:t>№</w:t>
      </w:r>
      <w:r w:rsidR="0021444A">
        <w:rPr>
          <w:rFonts w:ascii="Times New Roman" w:hAnsi="Times New Roman"/>
          <w:b/>
          <w:sz w:val="24"/>
          <w:szCs w:val="24"/>
        </w:rPr>
        <w:t>58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1444A" w:rsidRPr="0021444A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6D7C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CC346B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B509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Нур-Султан, пр. Абылай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</w:t>
      </w:r>
      <w:r w:rsidR="0021444A">
        <w:rPr>
          <w:rFonts w:ascii="Times New Roman" w:hAnsi="Times New Roman"/>
          <w:b/>
        </w:rPr>
        <w:t>Казахстан от 4 июня 2021 года №</w:t>
      </w:r>
      <w:r w:rsidR="00D07198" w:rsidRPr="00D07198">
        <w:rPr>
          <w:rFonts w:ascii="Times New Roman" w:hAnsi="Times New Roman"/>
          <w:b/>
        </w:rPr>
        <w:t xml:space="preserve">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21444A">
        <w:rPr>
          <w:rFonts w:ascii="Times New Roman" w:hAnsi="Times New Roman"/>
          <w:sz w:val="24"/>
          <w:szCs w:val="24"/>
        </w:rPr>
        <w:t>по</w:t>
      </w:r>
      <w:r w:rsidR="006C4A38" w:rsidRPr="006C4A38">
        <w:rPr>
          <w:rFonts w:ascii="Times New Roman" w:hAnsi="Times New Roman"/>
          <w:sz w:val="24"/>
          <w:szCs w:val="24"/>
        </w:rPr>
        <w:t xml:space="preserve">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725EC9" w:rsidRPr="00725EC9">
        <w:rPr>
          <w:rFonts w:ascii="Times New Roman" w:hAnsi="Times New Roman"/>
          <w:b/>
          <w:sz w:val="24"/>
          <w:szCs w:val="24"/>
        </w:rPr>
        <w:t>2</w:t>
      </w:r>
      <w:r w:rsidR="0021444A">
        <w:rPr>
          <w:rFonts w:ascii="Times New Roman" w:hAnsi="Times New Roman"/>
          <w:b/>
          <w:sz w:val="24"/>
          <w:szCs w:val="24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D02482">
        <w:rPr>
          <w:rFonts w:ascii="Times New Roman" w:hAnsi="Times New Roman"/>
          <w:b/>
          <w:sz w:val="24"/>
          <w:szCs w:val="24"/>
        </w:rPr>
        <w:t xml:space="preserve"> </w:t>
      </w:r>
      <w:r w:rsidR="00725EC9">
        <w:rPr>
          <w:rFonts w:ascii="Times New Roman" w:hAnsi="Times New Roman"/>
          <w:b/>
          <w:sz w:val="24"/>
          <w:szCs w:val="24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>«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06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CB5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8919F8">
        <w:rPr>
          <w:rFonts w:ascii="Times New Roman" w:hAnsi="Times New Roman"/>
          <w:b/>
          <w:sz w:val="24"/>
          <w:szCs w:val="24"/>
          <w:lang w:val="kk-KZ"/>
        </w:rPr>
        <w:t>я</w:t>
      </w:r>
      <w:r w:rsidR="00090B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CB509E">
        <w:rPr>
          <w:rFonts w:ascii="Times New Roman" w:hAnsi="Times New Roman"/>
          <w:b/>
          <w:sz w:val="24"/>
          <w:szCs w:val="24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B61E02">
        <w:rPr>
          <w:rFonts w:ascii="Times New Roman" w:hAnsi="Times New Roman"/>
          <w:b/>
          <w:sz w:val="24"/>
          <w:szCs w:val="24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1444A">
        <w:rPr>
          <w:rFonts w:ascii="Times New Roman" w:hAnsi="Times New Roman"/>
          <w:b/>
          <w:sz w:val="24"/>
          <w:szCs w:val="24"/>
        </w:rPr>
        <w:t>06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CB509E">
        <w:rPr>
          <w:rFonts w:ascii="Times New Roman" w:hAnsi="Times New Roman"/>
          <w:b/>
          <w:sz w:val="24"/>
          <w:szCs w:val="24"/>
        </w:rPr>
        <w:t>22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61E02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B61E0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25EC9">
        <w:rPr>
          <w:rFonts w:ascii="Times New Roman" w:hAnsi="Times New Roman"/>
          <w:sz w:val="24"/>
          <w:szCs w:val="24"/>
        </w:rPr>
        <w:t>Белялова Индира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725EC9">
        <w:rPr>
          <w:rFonts w:ascii="Times New Roman" w:eastAsia="Arial Unicode MS" w:hAnsi="Times New Roman"/>
          <w:sz w:val="16"/>
          <w:szCs w:val="16"/>
          <w:lang w:val="kk-KZ"/>
        </w:rPr>
        <w:t>Белялова И.</w:t>
      </w:r>
    </w:p>
    <w:p w:rsidR="00B872C0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p w:rsidR="00706DE0" w:rsidRDefault="00706DE0" w:rsidP="0021444A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Приложение 1</w:t>
      </w:r>
    </w:p>
    <w:p w:rsidR="0021444A" w:rsidRDefault="0021444A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6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804"/>
        <w:gridCol w:w="1275"/>
        <w:gridCol w:w="1418"/>
        <w:gridCol w:w="1134"/>
        <w:gridCol w:w="1421"/>
        <w:gridCol w:w="13"/>
      </w:tblGrid>
      <w:tr w:rsidR="0021444A" w:rsidRPr="00795037" w:rsidTr="00352ACD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21444A" w:rsidRPr="00795037" w:rsidTr="00352ACD">
        <w:trPr>
          <w:gridAfter w:val="1"/>
          <w:wAfter w:w="13" w:type="dxa"/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DMEM:F-12  500мл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43C15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DMEM:F-12  по 500мл с L-глутамином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8 772,00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438 600,00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FGF-фактор роста фибробластов человека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FGF-фактор роста фибробластов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53 720,00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268 600,00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L-глутамин 100 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L-глутамин аминокислота для добавления в кул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ьтуральную среду, жидкая форма </w:t>
            </w:r>
            <w:r w:rsidRPr="00795037">
              <w:rPr>
                <w:rFonts w:ascii="Times New Roman" w:hAnsi="Times New Roman"/>
                <w:sz w:val="20"/>
                <w:szCs w:val="20"/>
              </w:rPr>
              <w:t>по 100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10 621,00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53 105,00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343C15" w:rsidRDefault="00343C15" w:rsidP="00343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еагент для иммунофлюоресцентных исследований по 3 мл</w:t>
            </w:r>
            <w:r w:rsidRPr="00343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343C15" w:rsidRDefault="00343C15" w:rsidP="00352ACD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Tinto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Fibrinogen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Predilute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Rpab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Polyclonal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Antibody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Fibrinogen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795037">
              <w:rPr>
                <w:rFonts w:ascii="Times New Roman" w:hAnsi="Times New Roman"/>
                <w:sz w:val="20"/>
                <w:szCs w:val="20"/>
                <w:lang w:val="en-US"/>
              </w:rPr>
              <w:t>polyclonal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79503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</w:t>
            </w:r>
            <w:r w:rsidRPr="00795037">
              <w:rPr>
                <w:rFonts w:ascii="Times New Roman" w:hAnsi="Times New Roman"/>
                <w:sz w:val="20"/>
                <w:szCs w:val="20"/>
              </w:rPr>
              <w:t>мл</w:t>
            </w:r>
            <w:r w:rsidRPr="00343C1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279 507,00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279 507,00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Антиген кардиолипиновый РСК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Антиген кардиолипиновый РСК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22 830,00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68 490,00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Буфер фосфатно-солевой (PBS) PH 7,0 (6х1л)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фосфатный буфер для промывания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36 500,00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73 000,00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Векто-ssДНК-IgG-одноцепочный, 8658 96 опред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Векто-ssДНК-IgG -одноцепочный, 8658  для иммуноферментного определения концентрации аутоиммунных антител класса G к одноцепочечной ДНК в сыворотке крови. Характеристики набора: Метод определения основан на твердофазном иммуноферментном анализе.Количество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Комплектация набора: планшет разборный (12 восьмилуночных стрипов) с иммобилизованной на внутренней поверхности лунок одноцепочечной ДНК (ssДНК), готовый для использования – 1 шт.; калибровочные пробы на основе сыворотки крови человека, содержащие известные количества IgG к ssДНК – 0; 12,5; 25; 50; 100; 200 Ед /мл; аттестованные относительно стандартов IgG к ssДНК; концентрации IgG к ssДНК в калибровочных пробах могут несколько отличаться от указанных величин, точные величины указаны на этикетках флаконов, готовые для использования – 6 флаконов (по 1,5 мл); контрольная сыворотка на основе сыворотки крови человека с известным содержанием IgG к ssДНК, готовая для использования – 1 флакон (1,5 мл); конъюгат моноклональных антител к </w:t>
            </w: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IgG человека с пероксидазой хрена, концентрат – 1 флакон (1,5 мл); раствор для предварительного разведения сывороток (РПРС) – 1 флакон (10 мл); раствор для разведения сывороток (РРС) – 1 флакон (12 мл); раствор для разведения конъюгата (РРК) – 1 флакон (13 мл); 25-кратный концентрат фосфатно-солевого буферного раствора с твином (ФСБ-Т×25) – 2 флакона (по 28 мл); субстратный буферный раствор (СБР) – 1 флакон (13 мл); тетраметилбензидин (ТМБ), концентрат – 1 флакон (1,0 мл); стоп-реагент, готовый для использования – 1 флакон (12 мл); пленка для заклеивания планшета – 2 шт.; трафарет для построения калибровочного графика – 1 шт.; ванночка для реагента – 2 шт.; наконечники для пипеток на 4 – 200 мкл – 16 шт. Для удобства все флаконы с реагентами имеют цветовую идентификацию. Условия хранения и транспортировки: хранить при температуре 2 – 8 ºС. Допускается транспортировка при температуре до 25 ºС не более 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56 000,00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224 000,00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Вектор-dsДНК-IgG-двухцепочный 8656,96 опр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Вектор - dsДНК-IgG-двухцепочный 8656 для иммуноферментного определения концентрации аутоиммунных антител класса G к двухцепочечной ДНК в сыворотке крови. Характеристики набора: Метод определения основан на твердофазном иммуноферментном анализе.Количество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Набор реагентов для иммуноферментного определения концентрации аутоиммунных антител класса G к двухцепочечной ДНК в сыворотке крови. 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Анализируемые образцы: Для проведения анализа не следует использовать гемолизованную, мутную сыворотку, плазму крови. Образцы сыворотки крови можно хранить при температуре +2–8°С не более 5 сут или при температуре минус 20°С (и ниже) не более 6 мес. Объем анализируемого образца: 10 мкл. Чувствительность: Минимальная достоверно определяемая набором концентрация IgG к dsДНК не превышает 2 МЕ/мл. Специфичность: Используемая в наборе двухцепочечная ДНК (dsДНК) обеспечивает специфическое взаимодействие с аутоантителами к dsДНК. В Комплектация набора: планшет разборный (12 восьмилуночных стрипов) с иммобилизованной на внутренней поверхности лунок двухцепочечной ДНК (dsДНК), готовый для использования – 1 шт.; калибровочные пробы на основе сыворотки крови человека, аттестованные относительно Для удобства все флаконы с реагентами имеют цветовую </w:t>
            </w: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идентификацию. Условия хранения и транспортировки: хранить при температуре 2 – 8 ºС. Допускается транспортировка при температуре до 25 ºС не более 10 суток. Дробное использование набора может быть реализовано в пределах срока годности. Срок годности: 9 месяцев.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55 300,00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Диагностикум коклюш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Диагностикум коклюш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108 300,00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108 300,00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Диагностикум паракоклюш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Диагностикум паракоклюш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108 300,00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108 300,00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Диски антибиотиков ампициллин 2 мкг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Диски антибиотиков бензилпенициллина 1 мкг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Диски антибиотиков ванкомицина 5 мкг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Диски антибиотиков гентамицин  30мкг 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Диски антибиотиков линезолидом 10 мкг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Диски антибиотиков нитрофурантоином 100 мкг 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Дифференциал фибриногена и тромбоцитов fib-TEM из комплекта Система гемостаза цельной крови методом тромбоэластометрии ROTEM Delta (10х5)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фибриногена, 10 флаконов по 5 тестов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162 715,00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162 715,00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Контрольный материал для анализатора E-Lyte </w:t>
            </w: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Plus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Контрольный материал для анализатора E-Lyte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53 765,00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53 765,00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Метиленовый синий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26 150,00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26 150,00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Нейтральный  ферментативный  очиститель  для чистки  и дезинфекции инструментов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Нейтральный  ферментативный  очиститель  для чистки  и дезинфекции инструментов . 5 литров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кан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48 000,00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336 000,00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внешнего пути ex-TEM из комплекта Система гемостаза цельной крови методом тромбоэластометрии ROTEM Delta (10х10)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 для исследования активации по внешнему пути, 10 флаконов по 10 тестов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235 895,00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471 790,00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внутреннего пути in-TEM из комплекта Система гемостаза цельной крови методом тромбоэластометрии ROTEM Delta (10х10)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 для исследования активации по внутреннему пути, 10 флаконов по 10 тестов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192 005,00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384 010,00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Оптимизированный стартовый реагент star-TEM из комплекта Система гемостаза цельной крови методом тромбоэластометрии ROTEM Delta (10х10)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Стартовый реагент для рекальцификации цитратной крови или плазмы, 10 флаконов по 10 тестов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84 615,00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169 230,00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ED2D50" w:rsidP="00343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Промывочный раствор (Очищающий)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ED2D50" w:rsidP="00343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50">
              <w:rPr>
                <w:rFonts w:ascii="Times New Roman" w:hAnsi="Times New Roman"/>
                <w:color w:val="000000"/>
                <w:sz w:val="20"/>
                <w:szCs w:val="20"/>
              </w:rPr>
              <w:t>Промывочный раствор (очищающий) для работы прибора E-Lyte Plus. Состав: 1 флакон 110 мл. Предназначен для очистки измерительной системы перед выключением.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27 380,00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27 380,00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Подтверждение гиперфибринолиза ap-TEM из комплекта Система гемостаза цельной крови методом тромбоэластометрии ROTEM Delta  (10х5)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гиперфибринолиза, 10 флаконов по 5 тестов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161 910,00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161 910,00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343C15" w:rsidP="00343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Промывочный раствор </w:t>
            </w:r>
            <w:r w:rsidR="0021444A"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F21BDD" w:rsidP="00343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BDD">
              <w:rPr>
                <w:rFonts w:ascii="Times New Roman" w:hAnsi="Times New Roman"/>
                <w:color w:val="000000"/>
                <w:sz w:val="20"/>
                <w:szCs w:val="20"/>
              </w:rPr>
              <w:t>Рабочий раствор Триала для промывки внутренних магистралей и игл автоматического анализатора Аlisei. Концентрат: х5000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4 795,00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9 590,00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ED2D50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50">
              <w:rPr>
                <w:rFonts w:ascii="Times New Roman" w:hAnsi="Times New Roman"/>
                <w:color w:val="000000"/>
                <w:sz w:val="20"/>
                <w:szCs w:val="20"/>
              </w:rPr>
              <w:t>Промывочный раствор №2 (концентрат) объемом 500 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ED2D50" w:rsidP="00ED2D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50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Разведение: </w:t>
            </w:r>
            <w:r w:rsidRPr="00ED2D50">
              <w:rPr>
                <w:rFonts w:ascii="Times New Roman" w:hAnsi="Times New Roman"/>
                <w:color w:val="000000"/>
                <w:sz w:val="20"/>
                <w:szCs w:val="20"/>
              </w:rPr>
              <w:t>на 40 мл деонизированной воды добавить 10 мл концентрата. Состав: 1,05 N раствор NaOH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33 315,00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166 575,00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Протеиназа К/ Готовая к применению, 150 тестов, 15 мл.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иммунофлюоресцентных исследований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16 793,00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33 586,00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гидрохлорида натрия 4%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гидрохлорида натрия 4%. Назначение: очищающий раствор для промывки иглы мочегово анализатора c6500. Реагенты - рабочие растворы: гидрохлорид натрия 4%. Хранение при 15 - 25  °C до окончания срока годности.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60 480,00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60 480,00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Референсный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электрод для RADIOMETER AVL800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 эле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ктрод для RADIOMETER AVL800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114 240,00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114 240,00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Реагент для определения активированного частично тромбинового времени (АЧТВ) в человеческой цитратной плазме. (АЧТВ реагент)-HemosIL SynthASIL из комплекта Анализатор автоматический коагулометрический для in vitro диагностики ACL ELITE/ACL ELITE PRO с принадлежностями ( </w:t>
            </w:r>
            <w:r w:rsidRPr="007950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5x10мл+5х10мл), t +2+8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Реагент для определения активированного частично тромбинового времени (АЧТВ) в человеческой цитратной плазме.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терапии. Метод чувствителен к сниженным концентрациям факторов контактной фазы, факторов внутреннего и общего пути свертывания, антикоагуляционному действию гепарина и наличию ингибиторов, в частности волчаночно-подобных антикоагулянтов. Рекомендован к использованию для предоперационной скрининговой диагностики. Форма выпуска: жидкая, готовая к применению. Методы определения: нефелометрия или турбидиметрия. Поставляется в картонных упаковках (уп.: 5 фл. по 10 мл реагента + 5 фл. по 10 мл хлорида кальция). Температура хранения +2 +8 C . Фасовка: 5 фл. по 10 мл реагента + 5 фл. по </w:t>
            </w:r>
            <w:r w:rsidRPr="00795037">
              <w:rPr>
                <w:rFonts w:ascii="Times New Roman" w:hAnsi="Times New Roman"/>
                <w:sz w:val="20"/>
                <w:szCs w:val="20"/>
              </w:rPr>
              <w:lastRenderedPageBreak/>
              <w:t>10 мл хлорида кальция.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lastRenderedPageBreak/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42 142,00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758 556,00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ind w:hanging="40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Среда DMEM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Среда DMEM ростовая питательная среда для культивирования клеток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4 520,00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316 400,00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 xml:space="preserve">Формалин 40%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Формалин 40% забуференный 5л,фиксатор для гистологических и цитологических образцов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5 560,00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44 480,00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Экспресс- тест "ВИЧ 1/2" для выявления антител к вир.иммунодефицита человка 1 и /или 2 типа (компелект 3-кассета) кол-во в коробке 25шт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Тест-система "HIV-1/2" -это набор для качественного иммунологического анализа in vitro на антитела к ВИЧ -1/ВИЧ-2 в сыворотке, плазме и цельной крови человека с визуальной оценкой результата. Тест - система предназначена для экспресс-выявления атител к ВИЧ-1/ВИЧ-2 у инфицированных лиц. Экспресс - тест на ВИЧ HIV-1/2 тест обладает гибкостью в использовании: в качестве исследуемого образца можно тестировать цельную кровь, сыворотку или плазму, используя капиллярную или венозную кровь. Эксперсс-тест на ВИЧ HIV-1/2 отличается простотой постановки и учета результата анализа: одношаговая процедура при использовании сыворотки/плазмы крови, или двухшаговая процедура при использовании цельной крови полволяют визуально определить по наличию или отсутствию окрашенной полосы в зоне чтения результата тест-полоски наличие или отсутствиеот пациента антител к ВИЧ в течение 15 минут. В комплекте: 1. буферный раствор для проведения анализа. 2 скарификатор. 3. кассета. 4. пипетка. 5. инструкция по применению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28 100,00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28 100,00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А 10*100мл для промывания прибора IH-500 </w:t>
            </w:r>
          </w:p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10x100 ml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А 10*100мл для промывания прибора IH-500 </w:t>
            </w:r>
          </w:p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10x100 ml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56200</w:t>
            </w:r>
            <w:r w:rsidRPr="0079503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6A48F2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8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A48F2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6A48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21444A" w:rsidRPr="00795037" w:rsidTr="00352AC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2144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для деконтаминации медицинского оборудования и инструментов. Состав для обработки медицинского оборудования и инструментов, поддающийся </w:t>
            </w: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биологическому разложению . Обеспечивает уничтожение бактерий (в том числе антибиотикоустойчивых штаммов), грибов (в том числе дрожжевых и плесневых) и вирусов (в том числе ВИЧ и вирусов гепатитов B и С). Фасовка: 236 мл. Для гелевой технологии.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Средство для деконтаминации медицинского оборудования и инструментов.  Состав для обработки медицинского оборудования и инструментов, поддающийся биологическому разложению . Обеспечивает уничтожение бактерий (в том числе антибиотикоустойчивых штаммов), грибов (в том числе дрожжевых и плесневых) и вирусов (в том числе ВИЧ и вирусов гепатитов B и С). Фасовка: 236 мл. Для гелевой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03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55400</w:t>
            </w:r>
            <w:r w:rsidRPr="0079503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6A48F2" w:rsidRDefault="0021444A" w:rsidP="00352A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8F2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A48F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21444A" w:rsidRPr="00795037" w:rsidTr="00352ACD">
        <w:trPr>
          <w:gridAfter w:val="1"/>
          <w:wAfter w:w="13" w:type="dxa"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795037" w:rsidRDefault="0021444A" w:rsidP="00352AC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795037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795037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795037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795037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795037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795037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6 511 059</w:t>
            </w:r>
            <w:r w:rsidRPr="0079503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C50BA6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1E" w:rsidRDefault="006D391E" w:rsidP="004C5CD1">
      <w:pPr>
        <w:spacing w:after="0" w:line="240" w:lineRule="auto"/>
      </w:pPr>
      <w:r>
        <w:separator/>
      </w:r>
    </w:p>
  </w:endnote>
  <w:endnote w:type="continuationSeparator" w:id="0">
    <w:p w:rsidR="006D391E" w:rsidRDefault="006D391E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1E" w:rsidRDefault="006D391E" w:rsidP="004C5CD1">
      <w:pPr>
        <w:spacing w:after="0" w:line="240" w:lineRule="auto"/>
      </w:pPr>
      <w:r>
        <w:separator/>
      </w:r>
    </w:p>
  </w:footnote>
  <w:footnote w:type="continuationSeparator" w:id="0">
    <w:p w:rsidR="006D391E" w:rsidRDefault="006D391E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11AB0"/>
    <w:rsid w:val="00024BD2"/>
    <w:rsid w:val="00043219"/>
    <w:rsid w:val="00045CC4"/>
    <w:rsid w:val="00056CCE"/>
    <w:rsid w:val="00060C50"/>
    <w:rsid w:val="00062204"/>
    <w:rsid w:val="000727E9"/>
    <w:rsid w:val="0007443C"/>
    <w:rsid w:val="00083F21"/>
    <w:rsid w:val="000869BF"/>
    <w:rsid w:val="00090B72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31EF8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576B"/>
    <w:rsid w:val="001D04ED"/>
    <w:rsid w:val="001E1468"/>
    <w:rsid w:val="001E74B1"/>
    <w:rsid w:val="001F3ECF"/>
    <w:rsid w:val="002140A7"/>
    <w:rsid w:val="0021444A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D1B23"/>
    <w:rsid w:val="002E2503"/>
    <w:rsid w:val="002E7475"/>
    <w:rsid w:val="00306AF3"/>
    <w:rsid w:val="0031026C"/>
    <w:rsid w:val="00312B86"/>
    <w:rsid w:val="00324602"/>
    <w:rsid w:val="00335735"/>
    <w:rsid w:val="00343C1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67F29"/>
    <w:rsid w:val="00470967"/>
    <w:rsid w:val="00472A25"/>
    <w:rsid w:val="00475AC5"/>
    <w:rsid w:val="004849FF"/>
    <w:rsid w:val="00487157"/>
    <w:rsid w:val="004A04DC"/>
    <w:rsid w:val="004A31E3"/>
    <w:rsid w:val="004B4EFD"/>
    <w:rsid w:val="004B744A"/>
    <w:rsid w:val="004C5CD1"/>
    <w:rsid w:val="004D4DE8"/>
    <w:rsid w:val="004D4E8A"/>
    <w:rsid w:val="004E06CB"/>
    <w:rsid w:val="004E48B6"/>
    <w:rsid w:val="004E64D1"/>
    <w:rsid w:val="004F13B2"/>
    <w:rsid w:val="0050195D"/>
    <w:rsid w:val="0050412A"/>
    <w:rsid w:val="00511E6F"/>
    <w:rsid w:val="005151D5"/>
    <w:rsid w:val="00523A10"/>
    <w:rsid w:val="005250CB"/>
    <w:rsid w:val="005269D6"/>
    <w:rsid w:val="0052782B"/>
    <w:rsid w:val="00533883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F7327"/>
    <w:rsid w:val="00613D61"/>
    <w:rsid w:val="006232AE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48F2"/>
    <w:rsid w:val="006A7233"/>
    <w:rsid w:val="006A7D4A"/>
    <w:rsid w:val="006C4A38"/>
    <w:rsid w:val="006D2D23"/>
    <w:rsid w:val="006D391E"/>
    <w:rsid w:val="006D7C32"/>
    <w:rsid w:val="006E24F4"/>
    <w:rsid w:val="006F1D05"/>
    <w:rsid w:val="006F3FAC"/>
    <w:rsid w:val="00705929"/>
    <w:rsid w:val="00706DE0"/>
    <w:rsid w:val="007103DD"/>
    <w:rsid w:val="007174FE"/>
    <w:rsid w:val="00723DBB"/>
    <w:rsid w:val="00725EC9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95037"/>
    <w:rsid w:val="007A0FAB"/>
    <w:rsid w:val="007A2386"/>
    <w:rsid w:val="007B1596"/>
    <w:rsid w:val="007C1394"/>
    <w:rsid w:val="007C6CE5"/>
    <w:rsid w:val="007D029A"/>
    <w:rsid w:val="007D5112"/>
    <w:rsid w:val="007D55A0"/>
    <w:rsid w:val="007D6EA7"/>
    <w:rsid w:val="00820D89"/>
    <w:rsid w:val="00836530"/>
    <w:rsid w:val="00841A15"/>
    <w:rsid w:val="008440D4"/>
    <w:rsid w:val="008612E5"/>
    <w:rsid w:val="00865352"/>
    <w:rsid w:val="00865917"/>
    <w:rsid w:val="0086667B"/>
    <w:rsid w:val="008827F4"/>
    <w:rsid w:val="008900C5"/>
    <w:rsid w:val="008919F8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60D13"/>
    <w:rsid w:val="00963B71"/>
    <w:rsid w:val="00963D0A"/>
    <w:rsid w:val="00964FB6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D4842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97EAA"/>
    <w:rsid w:val="00AA234E"/>
    <w:rsid w:val="00AA256B"/>
    <w:rsid w:val="00AA4B83"/>
    <w:rsid w:val="00AB3572"/>
    <w:rsid w:val="00AC0EDD"/>
    <w:rsid w:val="00AC4210"/>
    <w:rsid w:val="00AC5D94"/>
    <w:rsid w:val="00AE1A3C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1E02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973B3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150E4"/>
    <w:rsid w:val="00C21996"/>
    <w:rsid w:val="00C47E47"/>
    <w:rsid w:val="00C50BA6"/>
    <w:rsid w:val="00C52985"/>
    <w:rsid w:val="00C67357"/>
    <w:rsid w:val="00C74A5C"/>
    <w:rsid w:val="00C7665D"/>
    <w:rsid w:val="00C91D54"/>
    <w:rsid w:val="00CA297E"/>
    <w:rsid w:val="00CB4F2C"/>
    <w:rsid w:val="00CB509E"/>
    <w:rsid w:val="00CB65B6"/>
    <w:rsid w:val="00CC0B1D"/>
    <w:rsid w:val="00CC205A"/>
    <w:rsid w:val="00CC2F9A"/>
    <w:rsid w:val="00CC346B"/>
    <w:rsid w:val="00CC6693"/>
    <w:rsid w:val="00CD6288"/>
    <w:rsid w:val="00CD6383"/>
    <w:rsid w:val="00CE618F"/>
    <w:rsid w:val="00CE7C1D"/>
    <w:rsid w:val="00CF3569"/>
    <w:rsid w:val="00CF69A3"/>
    <w:rsid w:val="00CF7B29"/>
    <w:rsid w:val="00D008A2"/>
    <w:rsid w:val="00D00991"/>
    <w:rsid w:val="00D02482"/>
    <w:rsid w:val="00D044F1"/>
    <w:rsid w:val="00D0602B"/>
    <w:rsid w:val="00D06435"/>
    <w:rsid w:val="00D07198"/>
    <w:rsid w:val="00D10F34"/>
    <w:rsid w:val="00D320ED"/>
    <w:rsid w:val="00D3763B"/>
    <w:rsid w:val="00D4583F"/>
    <w:rsid w:val="00D61C58"/>
    <w:rsid w:val="00D7552D"/>
    <w:rsid w:val="00D77EA8"/>
    <w:rsid w:val="00D87F1B"/>
    <w:rsid w:val="00D9404B"/>
    <w:rsid w:val="00D96013"/>
    <w:rsid w:val="00DA1117"/>
    <w:rsid w:val="00DA2429"/>
    <w:rsid w:val="00DB5FA7"/>
    <w:rsid w:val="00DD1BD4"/>
    <w:rsid w:val="00DD4191"/>
    <w:rsid w:val="00DE1D9C"/>
    <w:rsid w:val="00DE69C0"/>
    <w:rsid w:val="00DE761A"/>
    <w:rsid w:val="00DF49F3"/>
    <w:rsid w:val="00DF5859"/>
    <w:rsid w:val="00E03010"/>
    <w:rsid w:val="00E141E2"/>
    <w:rsid w:val="00E258F6"/>
    <w:rsid w:val="00E3306F"/>
    <w:rsid w:val="00E579E8"/>
    <w:rsid w:val="00E635CA"/>
    <w:rsid w:val="00E731B5"/>
    <w:rsid w:val="00E745CB"/>
    <w:rsid w:val="00E854BB"/>
    <w:rsid w:val="00E8767A"/>
    <w:rsid w:val="00E91667"/>
    <w:rsid w:val="00EA0D4D"/>
    <w:rsid w:val="00EB1658"/>
    <w:rsid w:val="00EC03A0"/>
    <w:rsid w:val="00EC25B3"/>
    <w:rsid w:val="00EC4999"/>
    <w:rsid w:val="00ED0FAA"/>
    <w:rsid w:val="00ED2D50"/>
    <w:rsid w:val="00EE48F8"/>
    <w:rsid w:val="00F05015"/>
    <w:rsid w:val="00F05B0C"/>
    <w:rsid w:val="00F07FBD"/>
    <w:rsid w:val="00F2129A"/>
    <w:rsid w:val="00F21BDD"/>
    <w:rsid w:val="00F2263B"/>
    <w:rsid w:val="00F30FD2"/>
    <w:rsid w:val="00F37E4E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DB29"/>
  <w15:docId w15:val="{A6C14715-3CF6-45FA-93EC-3D106AF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locked/>
    <w:rsid w:val="00725E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3B48-028E-4F99-855B-F3C37B6A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Белялова Индира Ерлановна</cp:lastModifiedBy>
  <cp:revision>116</cp:revision>
  <cp:lastPrinted>2022-04-28T08:59:00Z</cp:lastPrinted>
  <dcterms:created xsi:type="dcterms:W3CDTF">2020-09-02T05:24:00Z</dcterms:created>
  <dcterms:modified xsi:type="dcterms:W3CDTF">2022-04-28T09:00:00Z</dcterms:modified>
</cp:coreProperties>
</file>