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F5" w:rsidRPr="00627C04" w:rsidRDefault="003B26F5" w:rsidP="00004F49">
      <w:pPr>
        <w:pStyle w:val="1"/>
        <w:rPr>
          <w:rFonts w:ascii="Times New Roman" w:eastAsia="Times New Roman" w:hAnsi="Times New Roman" w:cs="Times New Roman"/>
          <w:sz w:val="18"/>
          <w:szCs w:val="18"/>
        </w:rPr>
      </w:pPr>
      <w:r w:rsidRPr="00627C04">
        <w:rPr>
          <w:rFonts w:ascii="Times New Roman" w:eastAsia="Times New Roman" w:hAnsi="Times New Roman" w:cs="Times New Roman"/>
          <w:sz w:val="18"/>
          <w:szCs w:val="18"/>
        </w:rPr>
        <w:t>Приложение 2 к тендерной документации</w:t>
      </w:r>
    </w:p>
    <w:p w:rsidR="003B26F5" w:rsidRPr="00627C04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1) Товар должен быть зарегистрирован в Республике Казахстан и готов к применению в соответствии с Кодексом Республики Казахстан </w:t>
      </w:r>
      <w:r w:rsidR="008D6F7C"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от 7 июля 2020 года </w:t>
      </w: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«О здоровье народа и системе здравоохранения» №</w:t>
      </w:r>
      <w:r w:rsidR="008D6F7C"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360-VI </w:t>
      </w: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(далее – Кодекс) и порядком государственной регистрации, установленным уполномоченным органом в области здравоохранения;</w:t>
      </w: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2) Товары, требующие хранения при низких температурах и защиты от замораживания, должны хранится и перевозится в специальных емкостях для обеспечения сохранности от пункта до пункта конечного назначения, а также обеспечения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3) Маркировка, потребительская упаковка и инструкция по применению Товаров должны соответствовать требованиям Кодекса и порядку, установленному уполномоченным органом в области здравоохранения;</w:t>
      </w: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4) Остаточный срок годности Товаров должен составлять не менее пятидесяти процентов от указанного срока годности на упаковке (при сроке годности менее двух лет), а также не менее двенадцати месяцев от указанного срока годности на упаковке (при сроке годности два года и более);</w:t>
      </w: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5) Наличие разрешения,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(правоспособность Поставщика).</w:t>
      </w: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6)  Лекарственные средства или медицинские изделия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Сопутствующие услуги:</w:t>
      </w: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доставка, разгрузка товара на склад Заказчика, обучение персонала по правильному использованию (в случае необходимости).</w:t>
      </w:r>
    </w:p>
    <w:p w:rsidR="003B26F5" w:rsidRPr="00D81474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18"/>
          <w:szCs w:val="18"/>
        </w:rPr>
      </w:pPr>
    </w:p>
    <w:p w:rsidR="003B26F5" w:rsidRPr="00D81474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2217"/>
      </w:tblGrid>
      <w:tr w:rsidR="00687590" w:rsidRPr="00D81474" w:rsidTr="00615CBC">
        <w:trPr>
          <w:trHeight w:val="64"/>
        </w:trPr>
        <w:tc>
          <w:tcPr>
            <w:tcW w:w="709" w:type="dxa"/>
            <w:shd w:val="clear" w:color="auto" w:fill="auto"/>
            <w:vAlign w:val="center"/>
            <w:hideMark/>
          </w:tcPr>
          <w:p w:rsidR="005316B5" w:rsidRPr="00D81474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14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5316B5" w:rsidRPr="00D81474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14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12217" w:type="dxa"/>
            <w:shd w:val="clear" w:color="auto" w:fill="auto"/>
            <w:vAlign w:val="center"/>
            <w:hideMark/>
          </w:tcPr>
          <w:p w:rsidR="005316B5" w:rsidRPr="00D81474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14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Полная характеристика (описание) товара</w:t>
            </w:r>
          </w:p>
        </w:tc>
      </w:tr>
      <w:tr w:rsidR="000A42C0" w:rsidRPr="00D81474" w:rsidTr="009C6F00">
        <w:trPr>
          <w:trHeight w:val="64"/>
        </w:trPr>
        <w:tc>
          <w:tcPr>
            <w:tcW w:w="709" w:type="dxa"/>
            <w:shd w:val="clear" w:color="auto" w:fill="auto"/>
          </w:tcPr>
          <w:p w:rsidR="000A42C0" w:rsidRPr="00D81474" w:rsidRDefault="000A42C0" w:rsidP="000A42C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 w:colFirst="1" w:colLast="1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C0" w:rsidRPr="00D7383F" w:rsidRDefault="000A42C0" w:rsidP="000A42C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7383F">
              <w:rPr>
                <w:rFonts w:ascii="Times New Roman" w:hAnsi="Times New Roman"/>
                <w:sz w:val="18"/>
                <w:szCs w:val="18"/>
              </w:rPr>
              <w:t xml:space="preserve">Реагент для определения </w:t>
            </w:r>
            <w:proofErr w:type="spellStart"/>
            <w:r w:rsidRPr="00D7383F">
              <w:rPr>
                <w:rFonts w:ascii="Times New Roman" w:hAnsi="Times New Roman"/>
                <w:sz w:val="18"/>
                <w:szCs w:val="18"/>
              </w:rPr>
              <w:t>Anti</w:t>
            </w:r>
            <w:proofErr w:type="spellEnd"/>
            <w:r w:rsidRPr="00D7383F">
              <w:rPr>
                <w:rFonts w:ascii="Times New Roman" w:hAnsi="Times New Roman"/>
                <w:sz w:val="18"/>
                <w:szCs w:val="18"/>
              </w:rPr>
              <w:t xml:space="preserve">-HCV 100тестов </w:t>
            </w:r>
          </w:p>
        </w:tc>
        <w:tc>
          <w:tcPr>
            <w:tcW w:w="1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2C0" w:rsidRPr="00D7383F" w:rsidRDefault="000A42C0" w:rsidP="000A42C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53853">
              <w:rPr>
                <w:rFonts w:ascii="Times New Roman" w:hAnsi="Times New Roman"/>
                <w:sz w:val="18"/>
                <w:szCs w:val="18"/>
              </w:rPr>
              <w:t xml:space="preserve">Реагент для определения 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Anti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>-H</w:t>
            </w:r>
            <w:r>
              <w:rPr>
                <w:rFonts w:ascii="Times New Roman" w:hAnsi="Times New Roman"/>
                <w:sz w:val="18"/>
                <w:szCs w:val="18"/>
              </w:rPr>
              <w:t>CV антитела к вирусу гепатита С.</w:t>
            </w:r>
            <w:r w:rsidRPr="00653853">
              <w:rPr>
                <w:rFonts w:ascii="Times New Roman" w:hAnsi="Times New Roman"/>
                <w:sz w:val="18"/>
                <w:szCs w:val="18"/>
              </w:rPr>
              <w:t xml:space="preserve"> Изделие медицинского назначения - Реагенты диагностические 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 xml:space="preserve"> для иммунохимического анализатора 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Architect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 xml:space="preserve">. Набор реагентов для 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для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 xml:space="preserve"> качественного определения антител к вирусу гепатита С (анти-HCV) в сыворотке и плазме крови человека. Состав набора: 1 флакон 6,6 мл, HCV (E. 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coli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 xml:space="preserve">, дрожжи, 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рекомбинант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 xml:space="preserve">) с сенсибилизированными антигеном микрочастицами в MES-буфере. Минимальная концентрация: 0,14% твердого вещества. Консервант: противомикробные препараты. 1 флакон 5,9 мл 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конъюгата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>: мышиный анти-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IgG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>/анти-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IgM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конъюгат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>, меченый акридином, в MES-буфере. Минимальная концентрация: (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IgG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 xml:space="preserve">) 8 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нг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>/мл/(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IgM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 xml:space="preserve">) 0,8 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нг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 xml:space="preserve">/мл. Консервант: противомикробные препараты. 1 флакон 10,0 мл разбавителя теста </w:t>
            </w:r>
            <w:proofErr w:type="spellStart"/>
            <w:r w:rsidRPr="00653853">
              <w:rPr>
                <w:rFonts w:ascii="Times New Roman" w:hAnsi="Times New Roman"/>
                <w:sz w:val="18"/>
                <w:szCs w:val="18"/>
              </w:rPr>
              <w:t>Anti</w:t>
            </w:r>
            <w:proofErr w:type="spellEnd"/>
            <w:r w:rsidRPr="00653853">
              <w:rPr>
                <w:rFonts w:ascii="Times New Roman" w:hAnsi="Times New Roman"/>
                <w:sz w:val="18"/>
                <w:szCs w:val="18"/>
              </w:rPr>
              <w:t>-HCV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653853">
              <w:rPr>
                <w:rFonts w:ascii="Times New Roman" w:hAnsi="Times New Roman"/>
                <w:sz w:val="18"/>
                <w:szCs w:val="18"/>
              </w:rPr>
              <w:t xml:space="preserve"> 6С3727.</w:t>
            </w:r>
          </w:p>
        </w:tc>
      </w:tr>
      <w:bookmarkEnd w:id="0"/>
      <w:tr w:rsidR="000A42C0" w:rsidRPr="00D81474" w:rsidTr="009C6F00">
        <w:trPr>
          <w:trHeight w:val="64"/>
        </w:trPr>
        <w:tc>
          <w:tcPr>
            <w:tcW w:w="709" w:type="dxa"/>
            <w:shd w:val="clear" w:color="auto" w:fill="auto"/>
          </w:tcPr>
          <w:p w:rsidR="000A42C0" w:rsidRPr="00D81474" w:rsidRDefault="000A42C0" w:rsidP="000A42C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2C0" w:rsidRPr="00A36E56" w:rsidRDefault="000A42C0" w:rsidP="000A42C0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DMEM:F-12  500мл</w:t>
            </w:r>
          </w:p>
        </w:tc>
        <w:tc>
          <w:tcPr>
            <w:tcW w:w="1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2C0" w:rsidRPr="00A36E56" w:rsidRDefault="000A42C0" w:rsidP="000A42C0">
            <w:pPr>
              <w:ind w:right="-57"/>
              <w:jc w:val="both"/>
              <w:rPr>
                <w:rFonts w:ascii="Times New Roman" w:eastAsia="MS Mincho" w:hAnsi="Times New Roman"/>
                <w:bCs/>
                <w:sz w:val="18"/>
                <w:szCs w:val="18"/>
                <w:lang w:eastAsia="ru-RU"/>
              </w:rPr>
            </w:pPr>
            <w:r w:rsidRPr="00A36E56">
              <w:rPr>
                <w:rFonts w:ascii="Times New Roman" w:eastAsia="MS Mincho" w:hAnsi="Times New Roman"/>
                <w:bCs/>
                <w:sz w:val="18"/>
                <w:szCs w:val="18"/>
                <w:lang w:eastAsia="ru-RU"/>
              </w:rPr>
              <w:t>DMEM:F-12  по 500мл с L-</w:t>
            </w:r>
            <w:proofErr w:type="spellStart"/>
            <w:r w:rsidRPr="00A36E56">
              <w:rPr>
                <w:rFonts w:ascii="Times New Roman" w:eastAsia="MS Mincho" w:hAnsi="Times New Roman"/>
                <w:bCs/>
                <w:sz w:val="18"/>
                <w:szCs w:val="18"/>
                <w:lang w:eastAsia="ru-RU"/>
              </w:rPr>
              <w:t>глутамином</w:t>
            </w:r>
            <w:proofErr w:type="spellEnd"/>
            <w:r w:rsidRPr="00A36E56">
              <w:rPr>
                <w:rFonts w:ascii="Times New Roman" w:eastAsia="MS Mincho" w:hAnsi="Times New Roman"/>
                <w:bCs/>
                <w:sz w:val="18"/>
                <w:szCs w:val="18"/>
                <w:lang w:eastAsia="ru-RU"/>
              </w:rPr>
              <w:t>, HEPES</w:t>
            </w:r>
          </w:p>
        </w:tc>
      </w:tr>
      <w:tr w:rsidR="000A42C0" w:rsidRPr="00D81474" w:rsidTr="009C6F00">
        <w:trPr>
          <w:trHeight w:val="607"/>
        </w:trPr>
        <w:tc>
          <w:tcPr>
            <w:tcW w:w="709" w:type="dxa"/>
            <w:shd w:val="clear" w:color="auto" w:fill="auto"/>
          </w:tcPr>
          <w:p w:rsidR="000A42C0" w:rsidRPr="00D81474" w:rsidRDefault="000A42C0" w:rsidP="000A42C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C0" w:rsidRPr="00A36E56" w:rsidRDefault="000A42C0" w:rsidP="000A42C0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Антитромбин жидкий-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HemosIL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Liquid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Antithrombin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из комплекта анализатор автоматический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коагулометрический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для 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диагностики ACL ELITE/ACL ELITE PRO с принадлежностями ( 2x2+4x4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mll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>) t+2 +8 C</w:t>
            </w:r>
          </w:p>
        </w:tc>
        <w:tc>
          <w:tcPr>
            <w:tcW w:w="1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C0" w:rsidRPr="00A36E56" w:rsidRDefault="000A42C0" w:rsidP="000A42C0">
            <w:pPr>
              <w:keepNext/>
              <w:spacing w:before="240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20"/>
                <w:szCs w:val="20"/>
                <w:lang w:val="kk-KZ"/>
              </w:rPr>
              <w:t>Реагент для определения гепарин-кофакторной активности антитромбина с использованием Xa фактора в качестве фермента-мишени.  Используется для предоперационного скрининга, диагностики наследственного дефицита антитромбина у пациентов, склонных к тромбоэмболии. Метод характеризуется широкой динейностью 10-150% активности. Форма выпуска: жидкая, готовая к применению. Метод определения: фотометрия с использованием хромогенного субстрата. Поставляется в картонных упаковках (уп.: 4 фл. по 4 мл реагента + 2 фл. по 2 мл субстрата). Температура хранения +2 +8 C . Фасовка: 4 фл. по 4 мл реагента + 2 фл. по 2 мл субстрат, (96 исследований). Методы определения: нефелометрия или турбидиметрия. Используется для работы на "Закрытой" ситеме анализатора ACL Elite PRO</w:t>
            </w:r>
            <w:r w:rsidRPr="00A36E56">
              <w:rPr>
                <w:rFonts w:ascii="Times New Roman" w:hAnsi="Times New Roman"/>
                <w:sz w:val="18"/>
                <w:szCs w:val="18"/>
              </w:rPr>
              <w:t xml:space="preserve"> 20002500.</w:t>
            </w:r>
          </w:p>
        </w:tc>
      </w:tr>
      <w:tr w:rsidR="000A42C0" w:rsidRPr="00D81474" w:rsidTr="009C6F00">
        <w:trPr>
          <w:trHeight w:val="607"/>
        </w:trPr>
        <w:tc>
          <w:tcPr>
            <w:tcW w:w="709" w:type="dxa"/>
            <w:shd w:val="clear" w:color="auto" w:fill="auto"/>
          </w:tcPr>
          <w:p w:rsidR="000A42C0" w:rsidRPr="00D81474" w:rsidRDefault="000A42C0" w:rsidP="000A42C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C0" w:rsidRPr="00A36E56" w:rsidRDefault="000A42C0" w:rsidP="000A42C0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Д-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Димер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>, (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.: 4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. по 3 мл реагента + 4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. по 9 мл буфер + 2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. по 1 мл калибратора) из комплекта  Анализатор автоматический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коагулометрический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для диагностики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ACL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TOP,модификации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>: ACLTOP350 CTS, ACLTOP550 CTS, ACLTOP 750, ACLTOP750 CTS, ACLTOP750 LAS +2 +8 С</w:t>
            </w:r>
          </w:p>
        </w:tc>
        <w:tc>
          <w:tcPr>
            <w:tcW w:w="1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C0" w:rsidRPr="00A36E56" w:rsidRDefault="000A42C0" w:rsidP="000A42C0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Реагент для иммунохимического определения Д-Димера в человеческой цитратной плазме. Используется для диагностики и исключения (совместно с общеклинической оценкой вероятности заболевания) венозные тромбоэмболии (тромбоз глубоких вен и легочной эмболии), для диагностики ДВС, а также для контроля длительности терапии оральными АК. Реагент имеет подтверждение FDA для исключения диагнозов ТГВ и ТЭЛА. Пороговом значении Д-Димера = 230 нг/мл. Форма выпуска: лиофилизат. Метод определения: нефелометрия или турбидиметрия. Фасовка: 4 фл. по 3 мл реагента  + 4 фл. по 9 мл буфер + 2 фл. по 1 мл калибратор, (105 исследований). Методы определения: нефелометрия или турбидиметрия. Используется для работы на "Закрытой" ситеме анализатора ACL Elite PRO.</w:t>
            </w:r>
            <w:r w:rsidRPr="00A36E56">
              <w:rPr>
                <w:rFonts w:ascii="Times New Roman" w:hAnsi="Times New Roman"/>
                <w:sz w:val="18"/>
                <w:szCs w:val="18"/>
              </w:rPr>
              <w:t xml:space="preserve"> 20008500.</w:t>
            </w:r>
          </w:p>
        </w:tc>
      </w:tr>
      <w:tr w:rsidR="000A42C0" w:rsidRPr="00D81474" w:rsidTr="009C6F00">
        <w:trPr>
          <w:trHeight w:val="607"/>
        </w:trPr>
        <w:tc>
          <w:tcPr>
            <w:tcW w:w="709" w:type="dxa"/>
            <w:shd w:val="clear" w:color="auto" w:fill="auto"/>
          </w:tcPr>
          <w:p w:rsidR="000A42C0" w:rsidRPr="00D81474" w:rsidRDefault="000A42C0" w:rsidP="000A42C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2C0" w:rsidRPr="00A36E56" w:rsidRDefault="000A42C0" w:rsidP="000A42C0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 xml:space="preserve">Калибровочный раствор 1 для ABL 800 944-128 </w:t>
            </w:r>
          </w:p>
        </w:tc>
        <w:tc>
          <w:tcPr>
            <w:tcW w:w="1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2C0" w:rsidRPr="00A36E56" w:rsidRDefault="000A42C0" w:rsidP="000A42C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36E56">
              <w:rPr>
                <w:rFonts w:ascii="Times New Roman" w:hAnsi="Times New Roman"/>
                <w:sz w:val="20"/>
                <w:szCs w:val="20"/>
                <w:lang w:val="kk-KZ"/>
              </w:rPr>
              <w:t>Объем 200 мл. Применяется для автоматической калибровки в анализаторах ABL800. Для диагностики in vitro.Содержит K, Na, Ca, Cl, cGlu, cLac, буфер, рН 7,40, для калибровки рН электрода, электролитного и метаболитного электродов</w:t>
            </w:r>
          </w:p>
        </w:tc>
      </w:tr>
      <w:tr w:rsidR="000A42C0" w:rsidRPr="00D81474" w:rsidTr="009C6F00">
        <w:trPr>
          <w:trHeight w:val="607"/>
        </w:trPr>
        <w:tc>
          <w:tcPr>
            <w:tcW w:w="709" w:type="dxa"/>
            <w:shd w:val="clear" w:color="auto" w:fill="auto"/>
          </w:tcPr>
          <w:p w:rsidR="000A42C0" w:rsidRPr="00D81474" w:rsidRDefault="000A42C0" w:rsidP="000A42C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2C0" w:rsidRPr="00A36E56" w:rsidRDefault="000A42C0" w:rsidP="000A42C0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Промывочный раствор для ABL800 FLEX 944-132</w:t>
            </w:r>
          </w:p>
        </w:tc>
        <w:tc>
          <w:tcPr>
            <w:tcW w:w="1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2C0" w:rsidRPr="00A36E56" w:rsidRDefault="000A42C0" w:rsidP="000A42C0">
            <w:pP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Объем 600 мл. Применяется для автоматической промывки измерительной системы анализаторов ABL800. Для диагностики in vitro.Содержит неорганические соли, буфер, антикоагулянт, консервант и ПАВ</w:t>
            </w:r>
          </w:p>
        </w:tc>
      </w:tr>
      <w:tr w:rsidR="000A42C0" w:rsidRPr="00D81474" w:rsidTr="009C6F00">
        <w:trPr>
          <w:trHeight w:val="607"/>
        </w:trPr>
        <w:tc>
          <w:tcPr>
            <w:tcW w:w="709" w:type="dxa"/>
            <w:shd w:val="clear" w:color="auto" w:fill="auto"/>
          </w:tcPr>
          <w:p w:rsidR="000A42C0" w:rsidRPr="00D81474" w:rsidRDefault="000A42C0" w:rsidP="000A42C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2C0" w:rsidRPr="00A36E56" w:rsidRDefault="000A42C0" w:rsidP="000A42C0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 xml:space="preserve">Протеин С-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HemosIL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Protein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C из комплекта анализатор автоматический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коагулометрический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диагностики ACL ELITE/ACL ELITE PRO с принадлежностями (1х8мл; 4х2,5мл) +2+8 С      </w:t>
            </w:r>
          </w:p>
        </w:tc>
        <w:tc>
          <w:tcPr>
            <w:tcW w:w="1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2C0" w:rsidRPr="00A36E56" w:rsidRDefault="000A42C0" w:rsidP="000A42C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 xml:space="preserve">Реагент для определения Протеин </w:t>
            </w:r>
            <w:proofErr w:type="gramStart"/>
            <w:r w:rsidRPr="00A36E56">
              <w:rPr>
                <w:rFonts w:ascii="Times New Roman" w:hAnsi="Times New Roman"/>
                <w:sz w:val="18"/>
                <w:szCs w:val="18"/>
              </w:rPr>
              <w:t>С  ACL</w:t>
            </w:r>
            <w:proofErr w:type="gram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TOP/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Protein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C из комплекта Анализатор автоматический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коагулометрический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ACL TOР 20300500 1x8ml,4x2,5ml. Реагент количественного определения Протеина С в человеческой цитратной плазме в качестве первичного скрининга. Повышенная стабильность реагента, широкая область линейности. Реагент не интерферирует с ВА, фактором VIII. Отмечена устойчивость к активированному Протеину С. Форма выпуска: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лиофилизат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>. Метод определения: фотометрия с использованием хромогенного субстрата. 20300500</w:t>
            </w:r>
          </w:p>
          <w:p w:rsidR="000A42C0" w:rsidRPr="00A36E56" w:rsidRDefault="000A42C0" w:rsidP="000A42C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2C0" w:rsidRPr="00D81474" w:rsidTr="009C6F00">
        <w:trPr>
          <w:trHeight w:val="607"/>
        </w:trPr>
        <w:tc>
          <w:tcPr>
            <w:tcW w:w="709" w:type="dxa"/>
            <w:shd w:val="clear" w:color="auto" w:fill="auto"/>
          </w:tcPr>
          <w:p w:rsidR="000A42C0" w:rsidRPr="00D81474" w:rsidRDefault="000A42C0" w:rsidP="000A42C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C0" w:rsidRPr="00A36E56" w:rsidRDefault="000A42C0" w:rsidP="000A42C0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 xml:space="preserve">Раствор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лизирующий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ля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лизир</w:t>
            </w:r>
            <w:r>
              <w:rPr>
                <w:rFonts w:ascii="Times New Roman" w:hAnsi="Times New Roman"/>
                <w:sz w:val="18"/>
                <w:szCs w:val="18"/>
              </w:rPr>
              <w:t>ования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эритроцитов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36E56">
              <w:rPr>
                <w:rFonts w:ascii="Times New Roman" w:hAnsi="Times New Roman"/>
                <w:sz w:val="18"/>
                <w:szCs w:val="18"/>
              </w:rPr>
              <w:t>500мл</w:t>
            </w:r>
          </w:p>
        </w:tc>
        <w:tc>
          <w:tcPr>
            <w:tcW w:w="1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42C0" w:rsidRPr="00A36E56" w:rsidRDefault="000A42C0" w:rsidP="000A42C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Раствор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лизирующий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лизир</w:t>
            </w:r>
            <w:r>
              <w:rPr>
                <w:rFonts w:ascii="Times New Roman" w:hAnsi="Times New Roman"/>
                <w:sz w:val="18"/>
                <w:szCs w:val="18"/>
              </w:rPr>
              <w:t>ования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эритроцитов, стерильный  по 500мл</w:t>
            </w:r>
          </w:p>
        </w:tc>
      </w:tr>
      <w:tr w:rsidR="000A42C0" w:rsidRPr="00D81474" w:rsidTr="009C6F00">
        <w:trPr>
          <w:trHeight w:val="60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A42C0" w:rsidRPr="00D81474" w:rsidRDefault="000A42C0" w:rsidP="000A42C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C0" w:rsidRPr="00A36E56" w:rsidRDefault="000A42C0" w:rsidP="000A42C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36E56">
              <w:rPr>
                <w:rFonts w:ascii="Times New Roman" w:hAnsi="Times New Roman"/>
                <w:sz w:val="18"/>
                <w:szCs w:val="18"/>
              </w:rPr>
              <w:t>Референсная</w:t>
            </w:r>
            <w:proofErr w:type="spellEnd"/>
            <w:r w:rsidRPr="00A36E56">
              <w:rPr>
                <w:rFonts w:ascii="Times New Roman" w:hAnsi="Times New Roman"/>
                <w:sz w:val="18"/>
                <w:szCs w:val="18"/>
              </w:rPr>
              <w:t xml:space="preserve"> эмульсия</w:t>
            </w:r>
          </w:p>
        </w:tc>
        <w:tc>
          <w:tcPr>
            <w:tcW w:w="1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2C0" w:rsidRPr="00A36E56" w:rsidRDefault="000A42C0" w:rsidP="000A42C0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20"/>
                <w:szCs w:val="20"/>
              </w:rPr>
              <w:t xml:space="preserve">Оптический </w:t>
            </w:r>
            <w:proofErr w:type="spellStart"/>
            <w:r w:rsidRPr="00A36E56">
              <w:rPr>
                <w:rFonts w:ascii="Times New Roman" w:hAnsi="Times New Roman"/>
                <w:sz w:val="20"/>
                <w:szCs w:val="20"/>
              </w:rPr>
              <w:t>референс</w:t>
            </w:r>
            <w:proofErr w:type="spellEnd"/>
            <w:r w:rsidRPr="00A36E56">
              <w:rPr>
                <w:rFonts w:ascii="Times New Roman" w:hAnsi="Times New Roman"/>
                <w:sz w:val="20"/>
                <w:szCs w:val="20"/>
              </w:rPr>
              <w:t xml:space="preserve">. Предназначен для использования в качестве фона для оптических измерений (нефелометрия, фотометрия) и в качестве промывающей жидкости для деталей </w:t>
            </w:r>
            <w:proofErr w:type="spellStart"/>
            <w:r w:rsidRPr="00A36E56">
              <w:rPr>
                <w:rFonts w:ascii="Times New Roman" w:hAnsi="Times New Roman"/>
                <w:sz w:val="20"/>
                <w:szCs w:val="20"/>
              </w:rPr>
              <w:t>коагулометров</w:t>
            </w:r>
            <w:proofErr w:type="spellEnd"/>
            <w:r w:rsidRPr="00A36E56">
              <w:rPr>
                <w:rFonts w:ascii="Times New Roman" w:hAnsi="Times New Roman"/>
                <w:sz w:val="20"/>
                <w:szCs w:val="20"/>
              </w:rPr>
              <w:t>. Форма выпуска: жидкая, готовая к применению. Поставляется в картонных упаковках (</w:t>
            </w:r>
            <w:proofErr w:type="spellStart"/>
            <w:r w:rsidRPr="00A36E56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A36E56">
              <w:rPr>
                <w:rFonts w:ascii="Times New Roman" w:hAnsi="Times New Roman"/>
                <w:sz w:val="20"/>
                <w:szCs w:val="20"/>
              </w:rPr>
              <w:t xml:space="preserve">.: 1 </w:t>
            </w:r>
            <w:proofErr w:type="spellStart"/>
            <w:r w:rsidRPr="00A36E56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A36E56">
              <w:rPr>
                <w:rFonts w:ascii="Times New Roman" w:hAnsi="Times New Roman"/>
                <w:sz w:val="20"/>
                <w:szCs w:val="20"/>
              </w:rPr>
              <w:t>. по 1000 мл). Температура хранения +15 +25 C .</w:t>
            </w:r>
          </w:p>
        </w:tc>
      </w:tr>
    </w:tbl>
    <w:p w:rsidR="003B26F5" w:rsidRDefault="003B26F5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Pr="00770790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Pr="00D81474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sectPr w:rsidR="004554BE" w:rsidRPr="00D81474" w:rsidSect="00615CBC">
      <w:headerReference w:type="default" r:id="rId8"/>
      <w:footerReference w:type="default" r:id="rId9"/>
      <w:pgSz w:w="16838" w:h="11906" w:orient="landscape"/>
      <w:pgMar w:top="0" w:right="539" w:bottom="0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364" w:rsidRDefault="001C3364" w:rsidP="00D118D2">
      <w:pPr>
        <w:spacing w:after="0" w:line="240" w:lineRule="auto"/>
      </w:pPr>
      <w:r>
        <w:separator/>
      </w:r>
    </w:p>
  </w:endnote>
  <w:endnote w:type="continuationSeparator" w:id="0">
    <w:p w:rsidR="001C3364" w:rsidRDefault="001C3364" w:rsidP="00D1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8D2" w:rsidRPr="00D118D2" w:rsidRDefault="00D118D2" w:rsidP="00D118D2">
    <w:pPr>
      <w:pStyle w:val="a6"/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364" w:rsidRDefault="001C3364" w:rsidP="00D118D2">
      <w:pPr>
        <w:spacing w:after="0" w:line="240" w:lineRule="auto"/>
      </w:pPr>
      <w:r>
        <w:separator/>
      </w:r>
    </w:p>
  </w:footnote>
  <w:footnote w:type="continuationSeparator" w:id="0">
    <w:p w:rsidR="001C3364" w:rsidRDefault="001C3364" w:rsidP="00D11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738" w:rsidRDefault="00346738" w:rsidP="000A7362">
    <w:pPr>
      <w:pStyle w:val="a4"/>
      <w:tabs>
        <w:tab w:val="left" w:pos="5460"/>
      </w:tabs>
    </w:pPr>
  </w:p>
  <w:p w:rsidR="000A7362" w:rsidRDefault="000A7362" w:rsidP="003B26F5">
    <w:pPr>
      <w:pStyle w:val="a4"/>
      <w:tabs>
        <w:tab w:val="left" w:pos="5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A6"/>
    <w:rsid w:val="00004F49"/>
    <w:rsid w:val="000258CD"/>
    <w:rsid w:val="0004378E"/>
    <w:rsid w:val="000A42C0"/>
    <w:rsid w:val="000A7362"/>
    <w:rsid w:val="00171263"/>
    <w:rsid w:val="001C3364"/>
    <w:rsid w:val="00201D3B"/>
    <w:rsid w:val="002220F9"/>
    <w:rsid w:val="00256FA5"/>
    <w:rsid w:val="0028379C"/>
    <w:rsid w:val="002A43AF"/>
    <w:rsid w:val="002B330C"/>
    <w:rsid w:val="002D05D5"/>
    <w:rsid w:val="002D38F9"/>
    <w:rsid w:val="00313C78"/>
    <w:rsid w:val="00322C49"/>
    <w:rsid w:val="003407D1"/>
    <w:rsid w:val="00346738"/>
    <w:rsid w:val="003A581C"/>
    <w:rsid w:val="003B26F5"/>
    <w:rsid w:val="00441A44"/>
    <w:rsid w:val="004554BE"/>
    <w:rsid w:val="00487E9E"/>
    <w:rsid w:val="004959F6"/>
    <w:rsid w:val="004B61A2"/>
    <w:rsid w:val="004C424A"/>
    <w:rsid w:val="004C4DD5"/>
    <w:rsid w:val="004D7B8D"/>
    <w:rsid w:val="00505B63"/>
    <w:rsid w:val="00525FC1"/>
    <w:rsid w:val="0053064F"/>
    <w:rsid w:val="005316B5"/>
    <w:rsid w:val="00537718"/>
    <w:rsid w:val="00566A49"/>
    <w:rsid w:val="005E7B1B"/>
    <w:rsid w:val="00615931"/>
    <w:rsid w:val="00615CBC"/>
    <w:rsid w:val="00627C04"/>
    <w:rsid w:val="00653EA6"/>
    <w:rsid w:val="0065482B"/>
    <w:rsid w:val="00663B7F"/>
    <w:rsid w:val="00687590"/>
    <w:rsid w:val="006A2ECA"/>
    <w:rsid w:val="006D485E"/>
    <w:rsid w:val="006E2365"/>
    <w:rsid w:val="006E28AA"/>
    <w:rsid w:val="00704FDF"/>
    <w:rsid w:val="00722B62"/>
    <w:rsid w:val="00725373"/>
    <w:rsid w:val="00770790"/>
    <w:rsid w:val="00815C43"/>
    <w:rsid w:val="0084707A"/>
    <w:rsid w:val="00864445"/>
    <w:rsid w:val="0089471B"/>
    <w:rsid w:val="008C491C"/>
    <w:rsid w:val="008D50E4"/>
    <w:rsid w:val="008D6F7C"/>
    <w:rsid w:val="00950A2A"/>
    <w:rsid w:val="0095637F"/>
    <w:rsid w:val="00AF10E2"/>
    <w:rsid w:val="00B117BC"/>
    <w:rsid w:val="00B11F00"/>
    <w:rsid w:val="00B30CDB"/>
    <w:rsid w:val="00B50626"/>
    <w:rsid w:val="00B62A7C"/>
    <w:rsid w:val="00BC5302"/>
    <w:rsid w:val="00BF31AF"/>
    <w:rsid w:val="00C17063"/>
    <w:rsid w:val="00C5583F"/>
    <w:rsid w:val="00C627E5"/>
    <w:rsid w:val="00C8214D"/>
    <w:rsid w:val="00CE1430"/>
    <w:rsid w:val="00D118D2"/>
    <w:rsid w:val="00D81474"/>
    <w:rsid w:val="00DD5BDF"/>
    <w:rsid w:val="00DE2001"/>
    <w:rsid w:val="00DF69FD"/>
    <w:rsid w:val="00E16240"/>
    <w:rsid w:val="00E74A65"/>
    <w:rsid w:val="00E75B29"/>
    <w:rsid w:val="00E8455A"/>
    <w:rsid w:val="00E901DF"/>
    <w:rsid w:val="00EB47B0"/>
    <w:rsid w:val="00ED6C0F"/>
    <w:rsid w:val="00EF2FF0"/>
    <w:rsid w:val="00F1440F"/>
    <w:rsid w:val="00F149F3"/>
    <w:rsid w:val="00F36F23"/>
    <w:rsid w:val="00F559A9"/>
    <w:rsid w:val="00F750CA"/>
    <w:rsid w:val="00FA6E5F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5DC7389-D3E4-445C-AA07-AE71A414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17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styleId="ab">
    <w:name w:val="No Spacing"/>
    <w:link w:val="ac"/>
    <w:qFormat/>
    <w:rsid w:val="008D6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locked/>
    <w:rsid w:val="00B11F00"/>
    <w:rPr>
      <w:rFonts w:ascii="Calibri" w:eastAsia="Times New Roman" w:hAnsi="Calibri" w:cs="Times New Roman"/>
      <w:lang w:eastAsia="ru-RU"/>
    </w:rPr>
  </w:style>
  <w:style w:type="character" w:customStyle="1" w:styleId="6">
    <w:name w:val="Основной текст6"/>
    <w:basedOn w:val="a0"/>
    <w:rsid w:val="002837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BodytextBold">
    <w:name w:val="Body text + Bold"/>
    <w:basedOn w:val="a0"/>
    <w:rsid w:val="002837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table" w:styleId="ad">
    <w:name w:val="Table Grid"/>
    <w:basedOn w:val="a1"/>
    <w:uiPriority w:val="59"/>
    <w:rsid w:val="0028379C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B30CDB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B117B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6D3ED-6C8A-410D-8C2F-C54F08559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18</cp:revision>
  <cp:lastPrinted>2023-02-15T12:58:00Z</cp:lastPrinted>
  <dcterms:created xsi:type="dcterms:W3CDTF">2022-02-26T03:42:00Z</dcterms:created>
  <dcterms:modified xsi:type="dcterms:W3CDTF">2023-02-15T12:58:00Z</dcterms:modified>
</cp:coreProperties>
</file>